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关于淅川县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年县级财政决算草案的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20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color w:val="auto"/>
          <w:spacing w:val="20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color w:val="auto"/>
          <w:spacing w:val="20"/>
          <w:sz w:val="44"/>
          <w:szCs w:val="44"/>
        </w:rPr>
        <w:t>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b/>
          <w:bCs/>
          <w:snapToGrid w:val="0"/>
          <w:color w:val="auto"/>
          <w:w w:val="10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w w:val="100"/>
          <w:kern w:val="0"/>
          <w:sz w:val="32"/>
          <w:szCs w:val="32"/>
          <w:highlight w:val="none"/>
        </w:rPr>
        <w:t>——2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spacing w:val="-11"/>
          <w:w w:val="100"/>
          <w:kern w:val="0"/>
          <w:sz w:val="32"/>
          <w:szCs w:val="32"/>
          <w:highlight w:val="none"/>
        </w:rPr>
        <w:t>02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spacing w:val="-11"/>
          <w:w w:val="1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spacing w:val="-11"/>
          <w:w w:val="100"/>
          <w:kern w:val="0"/>
          <w:sz w:val="32"/>
          <w:szCs w:val="32"/>
          <w:highlight w:val="none"/>
        </w:rPr>
        <w:t>年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spacing w:val="-11"/>
          <w:w w:val="100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spacing w:val="-11"/>
          <w:w w:val="100"/>
          <w:kern w:val="0"/>
          <w:sz w:val="32"/>
          <w:szCs w:val="32"/>
          <w:highlight w:val="none"/>
        </w:rPr>
        <w:t>月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spacing w:val="-11"/>
          <w:w w:val="100"/>
          <w:kern w:val="0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spacing w:val="-11"/>
          <w:w w:val="100"/>
          <w:kern w:val="0"/>
          <w:sz w:val="32"/>
          <w:szCs w:val="32"/>
          <w:highlight w:val="none"/>
        </w:rPr>
        <w:t>日在县十六届人大常委会第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spacing w:val="-11"/>
          <w:w w:val="100"/>
          <w:kern w:val="0"/>
          <w:sz w:val="32"/>
          <w:szCs w:val="32"/>
          <w:highlight w:val="none"/>
          <w:lang w:val="en-US" w:eastAsia="zh-CN"/>
        </w:rPr>
        <w:t>二十八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spacing w:val="-11"/>
          <w:w w:val="100"/>
          <w:kern w:val="0"/>
          <w:sz w:val="32"/>
          <w:szCs w:val="32"/>
          <w:highlight w:val="none"/>
        </w:rPr>
        <w:t>次会议上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snapToGrid w:val="0"/>
          <w:color w:val="auto"/>
          <w:spacing w:val="0"/>
          <w:w w:val="10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w w:val="100"/>
          <w:kern w:val="0"/>
          <w:sz w:val="32"/>
          <w:szCs w:val="32"/>
          <w:highlight w:val="none"/>
        </w:rPr>
        <w:t>淅川县财政局  陈 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</w:rPr>
        <w:t>主任，各位副主任、各位委员：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</w:rPr>
        <w:t>受县政府委托，我向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县人大常委会</w:t>
      </w:r>
      <w:r>
        <w:rPr>
          <w:rFonts w:hint="default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</w:rPr>
        <w:t>报告202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</w:rPr>
        <w:t>年县级财政决算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</w:rPr>
        <w:t>草案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</w:rPr>
        <w:t>，请予审议。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highlight w:val="none"/>
        </w:rPr>
        <w:t>一、202</w:t>
      </w: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highlight w:val="none"/>
        </w:rPr>
        <w:t>年县级财政决算草案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（一）政府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32"/>
          <w:szCs w:val="32"/>
          <w:highlight w:val="none"/>
        </w:rPr>
        <w:t>决算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u w:val="none"/>
        </w:rPr>
        <w:t>1.一般公共预算收支决算情况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u w:val="none"/>
        </w:rPr>
        <w:t>收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6"/>
          <w:kern w:val="0"/>
          <w:sz w:val="32"/>
          <w:szCs w:val="32"/>
          <w:highlight w:val="none"/>
          <w:u w:val="none"/>
        </w:rPr>
        <w:t>入情况。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u w:val="none"/>
        </w:rPr>
        <w:t>2024年全县一般公共预算收入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u w:val="none"/>
          <w:lang w:eastAsia="zh-CN"/>
        </w:rPr>
        <w:t>完成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u w:val="none"/>
        </w:rPr>
        <w:t>110567万元，比上年下降33.6%，其中：税收收入完成70615万元，比上年下降33.6%，占一般公共预算收入的63.9%；非税收入完成39952万元，比上年下降33.6%，占一般公共预算收入的36.1%。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2024年全县一般公共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预算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本级收入加上级转移支付和债券资金、减去上解支出后，一般公共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预算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财力为574424万元。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u w:val="none"/>
        </w:rPr>
        <w:t>支出情况。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2024年全县一般公共预算支出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完成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574424万元,其中：一般公共服务支出45055万元，公共安全支出16844万元，教育支出132164万元，社会保障和就业支出70968万元，卫生健康支出23834万元，节能环保支出26676万元，农林水支出119642万元，住房保障支出10383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u w:val="none"/>
        </w:rPr>
        <w:t>2.政府性基金预算收支决算情况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u w:val="none"/>
        </w:rPr>
        <w:t>收入情况。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2024年政府性基金预算收入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完成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106316万元，其中：国有土地使用权出让收入101399万元。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u w:val="none"/>
        </w:rPr>
        <w:t>支出情况。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202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年政府性基金预算支出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完成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211966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万元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其中：国有土地使用权出让收入安排的支出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98189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万元，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棚户区改造专项债券收入安排的支出25400万元，大中型水库移民后期扶持基金支出6110万元，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其他政府性基金及对应专项债务收入安排的支出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49000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u w:val="none"/>
        </w:rPr>
        <w:t>3.国有资本经营预算收支决算情况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年国有资本经营预算收入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完成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1603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万元，支出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完成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1603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u w:val="none"/>
        </w:rPr>
        <w:t>4.社会保险基金预算收支决算情况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202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年社会保险基金预算收入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完成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168775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万元，支出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完成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146703万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_GB2312" w:hAnsi="仿宋_GB2312" w:eastAsia="楷体_GB2312" w:cs="仿宋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spacing w:val="0"/>
          <w:kern w:val="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spacing w:val="0"/>
          <w:kern w:val="0"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部门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32"/>
          <w:szCs w:val="32"/>
          <w:highlight w:val="none"/>
        </w:rPr>
        <w:t>决算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收入情况。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2024年全县部门决算收入716024万元，其中：一般公共预算财政拨款收入547750万元、政府性基金预算财政拨款收入101919万元、事业收入66355万元。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highlight w:val="none"/>
        </w:rPr>
        <w:t>.支出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情况</w:t>
      </w:r>
      <w:r>
        <w:rPr>
          <w:rFonts w:hint="default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2024年全县部门决算支出完成721784万元。其中：一般公共服务支出45329万元，公共安全支出17115万元，教育支出121175万元，社会保障和就业支出44492万元，卫生健康支出93543万元，节能环保支出29370万元，农林水支出141906万元，住房保障支出12848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32"/>
          <w:szCs w:val="32"/>
          <w:highlight w:val="none"/>
          <w:u w:val="none"/>
        </w:rPr>
        <w:t>（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32"/>
          <w:szCs w:val="32"/>
          <w:highlight w:val="none"/>
          <w:u w:val="none"/>
        </w:rPr>
        <w:t>）政府债务情况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省财政厅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核定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202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年我县政府债务限额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1273122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万元，其中：一般债务限额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323108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万元，专项债务限额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950014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万元。截至202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年底，我县政府债务余额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1257921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万元，其中：一般债务余额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320888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万元，专项债务余额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937033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万元。全县债务余额低于债务限额，风险整体可控。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highlight w:val="none"/>
        </w:rPr>
        <w:t>二、202</w:t>
      </w: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highlight w:val="none"/>
        </w:rPr>
        <w:t>年财政预算执行情况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2024年，严格执行县十六届人大四次会议决议和审查意见，坚决落实积极的财政政策适度加力、提质增效的要求，强化财政统筹，提升管理效能，防范化解风险，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较好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保障了全县经济社会稳定发展。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pacing w:val="6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多措并举聚财，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增强财政保障能力。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u w:val="none"/>
          <w:lang w:val="en-US" w:eastAsia="zh-CN"/>
        </w:rPr>
        <w:t>面对经济增长相对放缓、财政收支趋于紧平衡的局面，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u w:val="none"/>
        </w:rPr>
        <w:t>强化部门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u w:val="none"/>
          <w:lang w:eastAsia="zh-CN"/>
        </w:rPr>
        <w:t>同舟共济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u w:val="none"/>
          <w:lang w:val="en-US" w:eastAsia="zh-CN"/>
        </w:rPr>
        <w:t>加大争资争项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u w:val="none"/>
        </w:rPr>
        <w:t>力度，提升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u w:val="none"/>
          <w:lang w:eastAsia="zh-CN"/>
        </w:rPr>
        <w:t>财政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u w:val="none"/>
        </w:rPr>
        <w:t>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</w:rPr>
        <w:t>障能力。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  <w:lang w:eastAsia="zh-CN"/>
        </w:rPr>
        <w:t>狠抓收入组织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  <w:lang w:eastAsia="zh-CN"/>
        </w:rPr>
        <w:t>分解收入任务，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</w:rPr>
        <w:t>实行周分析月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  <w:lang w:eastAsia="zh-CN"/>
        </w:rPr>
        <w:t>调度制度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  <w:lang w:val="en-US" w:eastAsia="zh-CN"/>
        </w:rPr>
        <w:t>重抓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</w:rPr>
        <w:t>综合治税，确保税收应收尽收。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</w:rPr>
        <w:t>全县一般公共预算收入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  <w:lang w:eastAsia="zh-CN"/>
        </w:rPr>
        <w:t>完成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u w:val="none"/>
          <w:lang w:val="en-US" w:eastAsia="zh-CN"/>
        </w:rPr>
        <w:t>11.06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</w:rPr>
        <w:t>亿元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</w:rPr>
        <w:t>其中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</w:rPr>
        <w:t>税收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  <w:lang w:eastAsia="zh-CN"/>
        </w:rPr>
        <w:t>收入完成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u w:val="none"/>
          <w:lang w:val="en-US" w:eastAsia="zh-CN"/>
        </w:rPr>
        <w:t>7.06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</w:rPr>
        <w:t>亿元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</w:rPr>
        <w:t>非税收入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  <w:lang w:eastAsia="zh-CN"/>
        </w:rPr>
        <w:t>完成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</w:rPr>
        <w:t>亿元。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  <w:lang w:val="en-US" w:eastAsia="zh-CN"/>
        </w:rPr>
        <w:t>二是积极争资争项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  <w:lang w:val="en-US" w:eastAsia="zh-CN"/>
        </w:rPr>
        <w:t>精准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  <w:lang w:eastAsia="zh-CN"/>
        </w:rPr>
        <w:t>把握政策导向，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</w:rPr>
        <w:t>常态化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  <w:lang w:eastAsia="zh-CN"/>
        </w:rPr>
        <w:t>跑部进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</w:rPr>
        <w:t>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  <w:lang w:eastAsia="zh-CN"/>
        </w:rPr>
        <w:t>，及时对接汇报，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kern w:val="0"/>
          <w:sz w:val="32"/>
          <w:szCs w:val="32"/>
          <w:highlight w:val="none"/>
          <w:lang w:val="en-US" w:eastAsia="zh-CN" w:bidi="ar-SA"/>
        </w:rPr>
        <w:t>争取项目资金更多倾斜、更大支持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</w:rPr>
        <w:t>争取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  <w:lang w:eastAsia="zh-CN"/>
        </w:rPr>
        <w:t>转移支付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</w:rPr>
        <w:t>资金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u w:val="none"/>
          <w:lang w:val="en-US" w:eastAsia="zh-CN"/>
        </w:rPr>
        <w:t>43.11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</w:rPr>
        <w:t>亿元，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  <w:lang w:eastAsia="zh-CN"/>
        </w:rPr>
        <w:t>其中：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</w:rPr>
        <w:t>财力性转移支付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u w:val="none"/>
          <w:lang w:val="en-US" w:eastAsia="zh-CN"/>
        </w:rPr>
        <w:t>11.12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</w:rPr>
        <w:t>亿元、重点生态功能区转移支付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u w:val="none"/>
          <w:lang w:val="en-US" w:eastAsia="zh-CN"/>
        </w:rPr>
        <w:t>4.82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</w:rPr>
        <w:t>亿元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  <w:lang w:eastAsia="zh-CN"/>
        </w:rPr>
        <w:t>、衔接资金2.34亿元等。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  <w:lang w:val="en-US" w:eastAsia="zh-CN"/>
        </w:rPr>
        <w:t>同时，安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</w:rPr>
        <w:t>排1500万元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  <w:lang w:val="en-US" w:eastAsia="zh-CN"/>
        </w:rPr>
        <w:t>专项资金池，有力支持全县争资争项工作。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  <w:u w:val="none"/>
          <w:shd w:val="clear" w:fill="FFFFFF"/>
          <w:lang w:val="en-US" w:eastAsia="zh-CN"/>
        </w:rPr>
        <w:t>三是加力债券争取。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  <w:highlight w:val="none"/>
          <w:u w:val="none"/>
          <w:shd w:val="clear" w:fill="FFFFFF"/>
          <w:lang w:val="en-US" w:eastAsia="zh-CN"/>
        </w:rPr>
        <w:t>2024年持续做好专项债券项目申报，通过省财政厅评审入库31个，入库金额58.47亿元。全年争取到位债券资金13.03亿元，其中：一般债券0.41亿元，新增专项债券7.82亿元，化债债券4.8亿元。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</w:rPr>
        <w:t>盘活存量资金。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</w:rPr>
        <w:t>建立存量资金台账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</w:rPr>
        <w:t>开展专项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  <w:lang w:eastAsia="zh-CN"/>
        </w:rPr>
        <w:t>清理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</w:rPr>
        <w:t>清查，盘活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  <w:lang w:eastAsia="zh-CN"/>
        </w:rPr>
        <w:t>各类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</w:rPr>
        <w:t>存量资金2.76亿元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</w:rPr>
        <w:t>统筹用于“三保”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  <w:lang w:eastAsia="zh-CN"/>
        </w:rPr>
        <w:t>和水质保护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</w:rPr>
        <w:t>等重点领域，提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  <w:lang w:eastAsia="zh-CN"/>
        </w:rPr>
        <w:t>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</w:rPr>
        <w:t>财政资金使用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  <w:lang w:val="en-US" w:eastAsia="zh-CN"/>
        </w:rPr>
        <w:t>效益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  <w:u w:val="none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2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</w:rPr>
        <w:t>节流增效并重，筑牢重点支出底线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  <w:t>树牢过紧日子思想，硬化预算执行约束。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u w:val="none"/>
          <w:lang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兜牢“三保”底线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highlight w:val="none"/>
          <w:u w:val="none"/>
          <w:lang w:val="en-US" w:eastAsia="zh-CN" w:bidi="ar-SA"/>
        </w:rPr>
        <w:t>始终把“三保”作为财政工作重中之重，统筹协调财力，足额安排预算，“三保”预算执行情况良好，未出现任何风险问题。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二是严控一般性支出。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highlight w:val="none"/>
          <w:u w:val="none"/>
          <w:lang w:val="en-US" w:eastAsia="zh-CN" w:bidi="ar-SA"/>
        </w:rPr>
        <w:t>出台《关于进一步勤俭节约坚持过紧日子的通知》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精打细算、务实节俭，大力压减一般性支出，坚决取消无实质内容的预算，杜绝花钱大手大脚、铺张浪费等行为。深入开展违规吃喝等问题专项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u w:val="none"/>
          <w:lang w:val="en-US" w:eastAsia="zh-CN"/>
        </w:rPr>
        <w:t>整治“百日行动”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u w:val="none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全县“三公”经费同比下降9.17%。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kern w:val="0"/>
          <w:sz w:val="32"/>
          <w:szCs w:val="32"/>
          <w:highlight w:val="none"/>
          <w:u w:val="none"/>
          <w:lang w:val="en-US" w:eastAsia="zh-CN" w:bidi="ar"/>
        </w:rPr>
        <w:t>三是保障重点支出。</w:t>
      </w:r>
      <w:r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highlight w:val="none"/>
          <w:u w:val="none"/>
          <w:lang w:val="en-US" w:eastAsia="zh-CN"/>
        </w:rPr>
        <w:t>统筹涉农整合资金3.58亿元，涵盖117个农业项目，提升县域优势特色产业，改善农村基建和居住环境。安排资金3.4亿元，用于保障聘任制教师及特岗教师工资及社保、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义务教育公用经费、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kern w:val="0"/>
          <w:sz w:val="32"/>
          <w:szCs w:val="32"/>
          <w:highlight w:val="none"/>
          <w:u w:val="none"/>
          <w:lang w:val="en-US" w:eastAsia="zh-CN"/>
        </w:rPr>
        <w:t>营养餐改善、困难学生资助等教育支出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  <w:t>安排资金2.38亿元，用于居民医保医疗救助、公共卫生服务、基本药物制度改革、紧密型县域医共体建设、中医药发展补助、“两癌、两筛”专项补助等。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安排资金2.77亿元，用于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  <w:t>老旧小区改造，荆楚大桥和丹江大道改线，南阳路、新建路、红旗路改造提升和鹳河东岸生态湿地建设。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（三）防范债务风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险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6"/>
          <w:sz w:val="32"/>
          <w:szCs w:val="32"/>
          <w:highlight w:val="none"/>
          <w:u w:val="none"/>
        </w:rPr>
        <w:t>，严守财政运行安全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u w:val="none"/>
        </w:rPr>
        <w:t>严格政府债务限额管理，在限额内合规举债，妥善处理稳增长与防风险的关系，牢牢守住不发生地方债务风险的底线。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  <w:u w:val="none"/>
        </w:rPr>
        <w:t>一是按时足额偿还债券本息。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u w:val="none"/>
        </w:rPr>
        <w:t>将到期债券本息足额列入年度预算，通过预算安排、争取再融资债券等方式，按时偿还到期债券本息13.28亿元（含再融资债券8.49亿元），未发生逾期现象。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  <w:u w:val="none"/>
        </w:rPr>
        <w:t>二是积极化解存量债务。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u w:val="none"/>
        </w:rPr>
        <w:t>通过年度预算安排、争取化债债券、决算审计核减等方式，积极稳妥化解存量债务。2024年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按序时进度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u w:val="none"/>
        </w:rPr>
        <w:t>化解隐性债务7.41亿元；化解“331”台账内拖欠企业账款7.69亿元，按要求在2024年8月底前完成了清欠任务。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  <w:u w:val="none"/>
        </w:rPr>
        <w:t>三是推动融资平台退出。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u w:val="none"/>
        </w:rPr>
        <w:t>争取化债债券7543万元清偿</w:t>
      </w:r>
      <w:r>
        <w:rPr>
          <w:rFonts w:hint="eastAsia" w:ascii="仿宋_GB2312" w:hAnsi="仿宋_GB2312" w:eastAsia="仿宋_GB2312" w:cs="仿宋_GB2312"/>
          <w:strike w:val="0"/>
          <w:color w:val="auto"/>
          <w:spacing w:val="6"/>
          <w:sz w:val="32"/>
          <w:szCs w:val="32"/>
          <w:highlight w:val="none"/>
          <w:u w:val="none"/>
        </w:rPr>
        <w:t>淅川丹源水电有限公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u w:val="none"/>
        </w:rPr>
        <w:t>司隐性债务，2024年底前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成功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u w:val="none"/>
        </w:rPr>
        <w:t>退出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融资平台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u w:val="none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  <w:u w:val="none"/>
        </w:rPr>
        <w:t>四是健全长效机制。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u w:val="none"/>
        </w:rPr>
        <w:t>坚持“风险识别越准越好、问题处理越早越好”原则，加强对趋势性、苗头性问题的风险研判，增强风险防范化解工作的前瞻性、主动性和实效性，妥善处理稳增长与防风险的关系，做到举债有度、风险可控，牢牢守住不发生地方债务风险的底线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2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（四）创新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赋能财源，优化营商发展环境。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一是精准助企纾困。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6"/>
          <w:sz w:val="32"/>
          <w:szCs w:val="32"/>
          <w:highlight w:val="none"/>
          <w:u w:val="none"/>
          <w:lang w:eastAsia="zh-CN"/>
        </w:rPr>
        <w:t>持续推进组合式减税降费政策，完成留抵退税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1936万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6"/>
          <w:sz w:val="32"/>
          <w:szCs w:val="32"/>
          <w:highlight w:val="none"/>
          <w:u w:val="none"/>
          <w:lang w:eastAsia="zh-CN"/>
        </w:rPr>
        <w:t>元，助企纾困轻装前进；坚决落实“免审即享”政策，加大财政扶持力度，争取省科技研发联合基金3000万元，成立淅川县汽车零部件产业科技研发联合基金，支持淅川汽车零部件产业研发创新和产业升级；协助福森药业、林吉特公司、浩帆公司等企业申报2024年省级制造业高质量发展专项资金1339万元；对实现满负荷生产的26家企业奖励资金370万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auto"/>
          <w:spacing w:val="6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二是优化政府采购。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通过采购信息公开、不见面开标、远程异地评标等方式，简化政府采购流程，降低交易成本。依托河南省电子化政府采购系统，依法公开政府采购项目信息321个，实现全流程电子化管理。为中小企业提供“政采贷”融资规模累计6424万元。助力乡村振兴，组织22家单位在“832平台”采购脱贫地区农副产品，超额完成年度采购份额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  <w:u w:val="none"/>
          <w:lang w:eastAsia="zh-CN"/>
        </w:rPr>
        <w:t>是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创优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  <w:u w:val="none"/>
          <w:lang w:eastAsia="zh-CN"/>
        </w:rPr>
        <w:t>金融环境。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u w:val="none"/>
          <w:lang w:eastAsia="zh-CN"/>
        </w:rPr>
        <w:t>持续开展中原银行不良资产集中清收工作，已有29家企业完成清偿，31家企业建立分类处理台账，累计接收资产价值2384万元，查封资产价值7816万元；清收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资金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u w:val="none"/>
          <w:lang w:eastAsia="zh-CN"/>
        </w:rPr>
        <w:t>990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u w:val="none"/>
          <w:lang w:eastAsia="zh-CN"/>
        </w:rPr>
        <w:t>万元，其中：现金转款6477万元，承兑168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u w:val="none"/>
          <w:lang w:eastAsia="zh-CN"/>
        </w:rPr>
        <w:t>万元，抵扣款项174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u w:val="none"/>
          <w:lang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（五）深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化监管改革，提升财政治理效能。</w:t>
      </w:r>
      <w:r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健全监管机制，创新管理方式，全面提升财政管理水平。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一是规范国资监管。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印发规范县属国企管理、行政事业性资产管理办法及国有资产出租管理通知等文件，进一步完善国资监管体系。实施国企改革深化提升行动，制定平台公司市场化转型方案，促进平台公司按期转型。开展全县资产清查，澄清家底、督促整改、规范管理，确保国有资产保值增值。通过加强门面房租金征收和罚没财物处置，实现国资收益1500万元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二是强化预算绩效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kern w:val="0"/>
          <w:sz w:val="32"/>
          <w:szCs w:val="32"/>
          <w:highlight w:val="none"/>
          <w:u w:val="none"/>
          <w:lang w:val="en-US" w:eastAsia="zh-CN" w:bidi="ar-SA"/>
        </w:rPr>
        <w:t>充分发挥绩效管理对财政资金激励约束作用，对产业园区标准化厂房建设、义务教育困难学生家庭补助、市政设施维护等重点项目资金8900万元开展绩效监控；对78个预算单位，涉及资金6.37亿元的项目预算实施绩效评价。</w:t>
      </w:r>
      <w:r>
        <w:rPr>
          <w:rStyle w:val="9"/>
          <w:rFonts w:hint="eastAsia" w:ascii="仿宋_GB2312" w:hAnsi="仿宋_GB2312" w:eastAsia="仿宋_GB2312" w:cs="仿宋_GB2312"/>
          <w:b/>
          <w:bCs w:val="0"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kern w:val="0"/>
          <w:sz w:val="32"/>
          <w:szCs w:val="32"/>
          <w:highlight w:val="none"/>
          <w:u w:val="none"/>
          <w:lang w:val="en-US" w:eastAsia="zh-CN"/>
        </w:rPr>
        <w:t>是提升评审质量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kern w:val="0"/>
          <w:sz w:val="32"/>
          <w:szCs w:val="32"/>
          <w:highlight w:val="none"/>
          <w:u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kern w:val="0"/>
          <w:sz w:val="32"/>
          <w:szCs w:val="32"/>
          <w:highlight w:val="none"/>
          <w:u w:val="none"/>
          <w:lang w:val="en-US" w:eastAsia="zh-CN"/>
        </w:rPr>
        <w:t>秉持“不唯增、不唯减、只唯实”评审原则，完成评审任务370项，报审金额64.3亿元，审定金额54.5亿元，审减金额9.8亿元，综合审减率15.24%。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kern w:val="0"/>
          <w:sz w:val="32"/>
          <w:szCs w:val="32"/>
          <w:highlight w:val="none"/>
          <w:u w:val="none"/>
          <w:lang w:val="en-US" w:eastAsia="zh-CN"/>
        </w:rPr>
        <w:t>四是规范政府采购。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kern w:val="0"/>
          <w:sz w:val="32"/>
          <w:szCs w:val="32"/>
          <w:highlight w:val="none"/>
          <w:u w:val="none"/>
          <w:lang w:val="en-US" w:eastAsia="zh-CN"/>
        </w:rPr>
        <w:t>完成政府采购询价项目166个，采购总额3.78亿元，审定金额3.41亿元，节约资金3725万元，节约率9.86％。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kern w:val="0"/>
          <w:sz w:val="32"/>
          <w:szCs w:val="32"/>
          <w:highlight w:val="none"/>
          <w:u w:val="none"/>
          <w:lang w:val="en-US" w:eastAsia="zh-CN"/>
        </w:rPr>
        <w:t>五是精准发放补贴。</w:t>
      </w:r>
      <w:r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highlight w:val="none"/>
          <w:u w:val="none"/>
          <w:lang w:val="en-US" w:eastAsia="zh-CN"/>
        </w:rPr>
        <w:t>协调18个项目主管单位，通过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kern w:val="0"/>
          <w:sz w:val="32"/>
          <w:szCs w:val="32"/>
          <w:highlight w:val="none"/>
          <w:u w:val="none"/>
          <w:lang w:val="en-US" w:eastAsia="zh-CN"/>
        </w:rPr>
        <w:t>“一卡通”发放</w:t>
      </w:r>
      <w:r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highlight w:val="none"/>
          <w:u w:val="none"/>
          <w:lang w:val="en-US" w:eastAsia="zh-CN"/>
        </w:rPr>
        <w:t>50项民生补贴资金6.07亿元，惠及群众145万人次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kern w:val="0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kern w:val="0"/>
          <w:sz w:val="32"/>
          <w:szCs w:val="32"/>
          <w:highlight w:val="none"/>
          <w:u w:val="none"/>
          <w:lang w:val="en-US" w:eastAsia="zh-CN"/>
        </w:rPr>
        <w:t>六是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6"/>
          <w:kern w:val="0"/>
          <w:sz w:val="32"/>
          <w:szCs w:val="32"/>
          <w:highlight w:val="none"/>
          <w:u w:val="none"/>
        </w:rPr>
        <w:t>主动接受县人大监督。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u w:val="none"/>
        </w:rPr>
        <w:t>贯彻落实预算法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u w:val="none"/>
        </w:rPr>
        <w:t>各级人民代表大会常务委员会监督法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u w:val="none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u w:val="none"/>
        </w:rPr>
        <w:t>《河南省预算审查监督条例》等法律法规，按时向县人大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u w:val="none"/>
          <w:lang w:val="en-US" w:eastAsia="zh-CN"/>
        </w:rPr>
        <w:t>及其常委会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u w:val="none"/>
        </w:rPr>
        <w:t>报告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u w:val="none"/>
          <w:lang w:eastAsia="zh-CN"/>
        </w:rPr>
        <w:t>了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u w:val="none"/>
        </w:rPr>
        <w:t>预算执行、预算调整等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u w:val="none"/>
          <w:lang w:eastAsia="zh-CN"/>
        </w:rPr>
        <w:t>重要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u w:val="none"/>
        </w:rPr>
        <w:t>工作情况。协助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u w:val="none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u w:val="none"/>
        </w:rPr>
        <w:t>人大预算联网监督系统建设，主动接受县人大对预算管理执行的监督。扎实做好部门预决算公开，认真整改县人大审议意见和审计建议，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u w:val="none"/>
          <w:lang w:eastAsia="zh-CN"/>
        </w:rPr>
        <w:t>持续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u w:val="none"/>
        </w:rPr>
        <w:t>提高科学理财、民主理财、依法理财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u w:val="none"/>
        </w:rPr>
        <w:t>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highlight w:val="none"/>
        </w:rPr>
        <w:t>三、存在问题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</w:rPr>
        <w:t>总体</w:t>
      </w:r>
      <w:r>
        <w:rPr>
          <w:rFonts w:hint="default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</w:rPr>
        <w:t>来看，2024年全县财政预算执行总体平稳。同时，也清醒地认识到，当前财政运行和预算管理工作还面临一些问题和挑战，如：财政收入不及预期，土地收入大幅下滑；刚性支出需求增大，县级“三保”支出顺势承压；受债务集中还本付息期影响，财政收支矛盾日益凸显。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lang w:val="en-US" w:eastAsia="zh-CN"/>
        </w:rPr>
        <w:t>下步要</w:t>
      </w:r>
      <w:r>
        <w:rPr>
          <w:rFonts w:hint="default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</w:rPr>
        <w:t>高度重视，精准施策，持续提升财政管理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</w:rPr>
        <w:t>科学化、规范化、精细化水平。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</w:rPr>
        <w:t>主任</w:t>
      </w:r>
      <w:r>
        <w:rPr>
          <w:rFonts w:hint="default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</w:rPr>
        <w:t>、各位副主任、各位委员，202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</w:rPr>
        <w:t>年的财政预算执行情况整体平稳，圆满完成了年初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lang w:val="en-US" w:eastAsia="zh-CN"/>
        </w:rPr>
        <w:t>确定</w:t>
      </w:r>
      <w:r>
        <w:rPr>
          <w:rFonts w:hint="default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</w:rPr>
        <w:t>的各项工作任务。我们将在县委的坚强领导下，自觉接受县人大及其常委会监督，认真贯彻落实中央、省、市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lang w:eastAsia="zh-CN"/>
        </w:rPr>
        <w:t>、县</w:t>
      </w:r>
      <w:r>
        <w:rPr>
          <w:rFonts w:hint="default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</w:rPr>
        <w:t>有关工作部署，主动适应经济发展形势，努力提高财政保障服务水平，为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</w:rPr>
        <w:t>“建强副中心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</w:rPr>
        <w:t>淅川当先锋”贡献财政力量</w:t>
      </w:r>
      <w:r>
        <w:rPr>
          <w:rFonts w:hint="default" w:ascii="仿宋_GB2312" w:hAnsi="仿宋_GB2312" w:eastAsia="仿宋_GB2312" w:cs="仿宋_GB2312"/>
          <w:snapToGrid w:val="0"/>
          <w:color w:val="auto"/>
          <w:spacing w:val="6"/>
          <w:kern w:val="0"/>
          <w:sz w:val="32"/>
          <w:szCs w:val="32"/>
          <w:highlight w:val="none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</w:rPr>
        <w:t>附表：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</w:rPr>
        <w:t>1.淅川县202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</w:rPr>
        <w:t>年一般公共预算收入决算表（草案）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</w:rPr>
        <w:t>2.淅川县202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</w:rPr>
        <w:t>年一般公共预算支出决算表（草案）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</w:rPr>
        <w:t>3.淅川县202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</w:rPr>
        <w:t>年政府性基金预算收支决算表（草案）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</w:rPr>
        <w:t>4.淅川县202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</w:rPr>
        <w:t>年国有资本经营预算收支决算表（草案）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</w:rPr>
        <w:t>5.淅川县202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</w:rPr>
        <w:t>年社会保险基金预算收支决算表（草案）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</w:rPr>
        <w:t>6.淅川县202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</w:rPr>
        <w:t>年地方政府债务情况表</w:t>
      </w:r>
    </w:p>
    <w:p>
      <w:pP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textAlignment w:val="auto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</w:rPr>
        <w:t>附表1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2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napToGrid w:val="0"/>
          <w:color w:val="auto"/>
          <w:spacing w:val="-6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napToGrid w:val="0"/>
          <w:color w:val="auto"/>
          <w:spacing w:val="-6"/>
          <w:kern w:val="0"/>
          <w:sz w:val="44"/>
          <w:szCs w:val="44"/>
          <w:highlight w:val="none"/>
        </w:rPr>
        <w:t>淅川县</w:t>
      </w:r>
      <w:r>
        <w:rPr>
          <w:rFonts w:hint="eastAsia" w:ascii="方正大标宋简体" w:hAnsi="方正大标宋简体" w:eastAsia="方正大标宋简体" w:cs="方正大标宋简体"/>
          <w:snapToGrid w:val="0"/>
          <w:color w:val="auto"/>
          <w:spacing w:val="-6"/>
          <w:kern w:val="0"/>
          <w:sz w:val="44"/>
          <w:szCs w:val="44"/>
          <w:highlight w:val="none"/>
          <w:lang w:val="en-US" w:eastAsia="zh-CN"/>
        </w:rPr>
        <w:t>2024</w:t>
      </w:r>
      <w:r>
        <w:rPr>
          <w:rFonts w:hint="eastAsia" w:ascii="方正大标宋简体" w:hAnsi="方正大标宋简体" w:eastAsia="方正大标宋简体" w:cs="方正大标宋简体"/>
          <w:snapToGrid w:val="0"/>
          <w:color w:val="auto"/>
          <w:spacing w:val="-6"/>
          <w:kern w:val="0"/>
          <w:sz w:val="44"/>
          <w:szCs w:val="44"/>
          <w:highlight w:val="none"/>
        </w:rPr>
        <w:t>年一般公共预算收入决算表</w:t>
      </w:r>
      <w:r>
        <w:rPr>
          <w:rFonts w:hint="eastAsia" w:ascii="方正大标宋简体" w:hAnsi="方正大标宋简体" w:eastAsia="方正大标宋简体" w:cs="方正大标宋简体"/>
          <w:snapToGrid w:val="0"/>
          <w:color w:val="auto"/>
          <w:spacing w:val="-6"/>
          <w:kern w:val="0"/>
          <w:sz w:val="44"/>
          <w:szCs w:val="44"/>
          <w:highlight w:val="none"/>
          <w:lang w:val="en-US" w:eastAsia="zh-CN"/>
        </w:rPr>
        <w:t>(</w:t>
      </w:r>
      <w:r>
        <w:rPr>
          <w:rFonts w:hint="eastAsia" w:ascii="方正大标宋简体" w:hAnsi="方正大标宋简体" w:eastAsia="方正大标宋简体" w:cs="方正大标宋简体"/>
          <w:snapToGrid w:val="0"/>
          <w:color w:val="auto"/>
          <w:spacing w:val="-6"/>
          <w:kern w:val="0"/>
          <w:sz w:val="44"/>
          <w:szCs w:val="44"/>
          <w:highlight w:val="none"/>
        </w:rPr>
        <w:t>草案</w:t>
      </w:r>
      <w:r>
        <w:rPr>
          <w:rFonts w:hint="eastAsia" w:ascii="方正大标宋简体" w:hAnsi="方正大标宋简体" w:eastAsia="方正大标宋简体" w:cs="方正大标宋简体"/>
          <w:snapToGrid w:val="0"/>
          <w:color w:val="auto"/>
          <w:spacing w:val="-6"/>
          <w:kern w:val="0"/>
          <w:sz w:val="44"/>
          <w:szCs w:val="44"/>
          <w:highlight w:val="none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right"/>
        <w:textAlignment w:val="auto"/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24"/>
          <w:szCs w:val="24"/>
          <w:highlight w:val="none"/>
        </w:rPr>
        <w:t>单位：万元</w:t>
      </w:r>
    </w:p>
    <w:tbl>
      <w:tblPr>
        <w:tblStyle w:val="6"/>
        <w:tblW w:w="86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5"/>
        <w:gridCol w:w="4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bidi="ar"/>
              </w:rPr>
              <w:t>项        目</w:t>
            </w:r>
          </w:p>
        </w:tc>
        <w:tc>
          <w:tcPr>
            <w:tcW w:w="42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bidi="ar"/>
              </w:rPr>
              <w:t>完成数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ahoma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一般公共预算收入</w:t>
            </w:r>
          </w:p>
        </w:tc>
        <w:tc>
          <w:tcPr>
            <w:tcW w:w="4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110567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一、税收收入</w:t>
            </w:r>
          </w:p>
        </w:tc>
        <w:tc>
          <w:tcPr>
            <w:tcW w:w="4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增值税</w:t>
            </w:r>
          </w:p>
        </w:tc>
        <w:tc>
          <w:tcPr>
            <w:tcW w:w="4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31910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企业所得税</w:t>
            </w:r>
          </w:p>
        </w:tc>
        <w:tc>
          <w:tcPr>
            <w:tcW w:w="4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个人所得税</w:t>
            </w:r>
          </w:p>
        </w:tc>
        <w:tc>
          <w:tcPr>
            <w:tcW w:w="4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资源税</w:t>
            </w:r>
          </w:p>
        </w:tc>
        <w:tc>
          <w:tcPr>
            <w:tcW w:w="4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17913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城市维护建设税</w:t>
            </w:r>
          </w:p>
        </w:tc>
        <w:tc>
          <w:tcPr>
            <w:tcW w:w="4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房产税</w:t>
            </w:r>
          </w:p>
        </w:tc>
        <w:tc>
          <w:tcPr>
            <w:tcW w:w="4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印花税</w:t>
            </w:r>
          </w:p>
        </w:tc>
        <w:tc>
          <w:tcPr>
            <w:tcW w:w="4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城镇土地使用税</w:t>
            </w:r>
          </w:p>
        </w:tc>
        <w:tc>
          <w:tcPr>
            <w:tcW w:w="4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center"/>
              <w:rPr>
                <w:rFonts w:hint="eastAsia" w:ascii="仿宋_GB2312" w:hAnsi="Tahoma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土地增值税</w:t>
            </w:r>
          </w:p>
        </w:tc>
        <w:tc>
          <w:tcPr>
            <w:tcW w:w="4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车船税</w:t>
            </w:r>
          </w:p>
        </w:tc>
        <w:tc>
          <w:tcPr>
            <w:tcW w:w="4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耕地占用税</w:t>
            </w:r>
          </w:p>
        </w:tc>
        <w:tc>
          <w:tcPr>
            <w:tcW w:w="4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契税</w:t>
            </w:r>
          </w:p>
        </w:tc>
        <w:tc>
          <w:tcPr>
            <w:tcW w:w="4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center"/>
              <w:rPr>
                <w:rFonts w:hint="eastAsia" w:ascii="仿宋_GB2312" w:hAnsi="Tahoma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烟叶税</w:t>
            </w:r>
          </w:p>
        </w:tc>
        <w:tc>
          <w:tcPr>
            <w:tcW w:w="4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center"/>
              <w:rPr>
                <w:rFonts w:hint="eastAsia" w:ascii="仿宋_GB2312" w:hAnsi="Tahoma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环境保护税</w:t>
            </w:r>
          </w:p>
        </w:tc>
        <w:tc>
          <w:tcPr>
            <w:tcW w:w="4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Tahoma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二、非税收入</w:t>
            </w:r>
          </w:p>
        </w:tc>
        <w:tc>
          <w:tcPr>
            <w:tcW w:w="4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39952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专项收入</w:t>
            </w:r>
          </w:p>
        </w:tc>
        <w:tc>
          <w:tcPr>
            <w:tcW w:w="4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行政事业性收费收入</w:t>
            </w:r>
          </w:p>
        </w:tc>
        <w:tc>
          <w:tcPr>
            <w:tcW w:w="4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23146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罚没收入</w:t>
            </w:r>
          </w:p>
        </w:tc>
        <w:tc>
          <w:tcPr>
            <w:tcW w:w="4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国有资源（资产）有偿使用</w:t>
            </w:r>
            <w:r>
              <w:rPr>
                <w:rFonts w:hint="eastAsia" w:ascii="仿宋_GB2312" w:hAnsi="Tahoma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收入</w:t>
            </w:r>
          </w:p>
        </w:tc>
        <w:tc>
          <w:tcPr>
            <w:tcW w:w="4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center"/>
              <w:rPr>
                <w:rFonts w:hint="default" w:ascii="仿宋_GB2312" w:hAnsi="Tahoma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政府住房基金收入</w:t>
            </w:r>
          </w:p>
        </w:tc>
        <w:tc>
          <w:tcPr>
            <w:tcW w:w="4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487</w:t>
            </w:r>
          </w:p>
        </w:tc>
      </w:tr>
    </w:tbl>
    <w:p>
      <w:pPr>
        <w:rPr>
          <w:rFonts w:hint="default" w:asciiTheme="minorAscii" w:hAnsiTheme="minorAscii" w:eastAsiaTheme="minorEastAsia"/>
          <w:snapToGrid w:val="0"/>
          <w:color w:val="auto"/>
          <w:kern w:val="0"/>
          <w:sz w:val="21"/>
          <w:highlight w:val="none"/>
        </w:rPr>
      </w:pPr>
      <w:r>
        <w:rPr>
          <w:rFonts w:hint="default" w:asciiTheme="minorAscii" w:hAnsiTheme="minorAscii" w:eastAsiaTheme="minorEastAsia"/>
          <w:snapToGrid w:val="0"/>
          <w:color w:val="auto"/>
          <w:kern w:val="0"/>
          <w:sz w:val="21"/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textAlignment w:val="auto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</w:rPr>
        <w:t>附表2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2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napToGrid w:val="0"/>
          <w:color w:val="auto"/>
          <w:spacing w:val="-6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napToGrid w:val="0"/>
          <w:color w:val="auto"/>
          <w:spacing w:val="-6"/>
          <w:kern w:val="0"/>
          <w:sz w:val="44"/>
          <w:szCs w:val="44"/>
          <w:highlight w:val="none"/>
        </w:rPr>
        <w:t>淅川县</w:t>
      </w:r>
      <w:r>
        <w:rPr>
          <w:rFonts w:hint="eastAsia" w:ascii="方正大标宋简体" w:hAnsi="方正大标宋简体" w:eastAsia="方正大标宋简体" w:cs="方正大标宋简体"/>
          <w:snapToGrid w:val="0"/>
          <w:color w:val="auto"/>
          <w:spacing w:val="-6"/>
          <w:kern w:val="0"/>
          <w:sz w:val="44"/>
          <w:szCs w:val="44"/>
          <w:highlight w:val="none"/>
          <w:lang w:val="en-US" w:eastAsia="zh-CN"/>
        </w:rPr>
        <w:t>2024</w:t>
      </w:r>
      <w:r>
        <w:rPr>
          <w:rFonts w:hint="eastAsia" w:ascii="方正大标宋简体" w:hAnsi="方正大标宋简体" w:eastAsia="方正大标宋简体" w:cs="方正大标宋简体"/>
          <w:snapToGrid w:val="0"/>
          <w:color w:val="auto"/>
          <w:spacing w:val="-6"/>
          <w:kern w:val="0"/>
          <w:sz w:val="44"/>
          <w:szCs w:val="44"/>
          <w:highlight w:val="none"/>
        </w:rPr>
        <w:t>年一般公共预算支出决算表</w:t>
      </w:r>
      <w:r>
        <w:rPr>
          <w:rFonts w:hint="eastAsia" w:ascii="方正大标宋简体" w:hAnsi="方正大标宋简体" w:eastAsia="方正大标宋简体" w:cs="方正大标宋简体"/>
          <w:snapToGrid w:val="0"/>
          <w:color w:val="auto"/>
          <w:spacing w:val="-6"/>
          <w:kern w:val="0"/>
          <w:sz w:val="44"/>
          <w:szCs w:val="44"/>
          <w:highlight w:val="none"/>
          <w:lang w:val="en-US" w:eastAsia="zh-CN"/>
        </w:rPr>
        <w:t>(</w:t>
      </w:r>
      <w:r>
        <w:rPr>
          <w:rFonts w:hint="eastAsia" w:ascii="方正大标宋简体" w:hAnsi="方正大标宋简体" w:eastAsia="方正大标宋简体" w:cs="方正大标宋简体"/>
          <w:snapToGrid w:val="0"/>
          <w:color w:val="auto"/>
          <w:spacing w:val="-6"/>
          <w:kern w:val="0"/>
          <w:sz w:val="44"/>
          <w:szCs w:val="44"/>
          <w:highlight w:val="none"/>
        </w:rPr>
        <w:t>草案</w:t>
      </w:r>
      <w:r>
        <w:rPr>
          <w:rFonts w:hint="eastAsia" w:ascii="方正大标宋简体" w:hAnsi="方正大标宋简体" w:eastAsia="方正大标宋简体" w:cs="方正大标宋简体"/>
          <w:snapToGrid w:val="0"/>
          <w:color w:val="auto"/>
          <w:spacing w:val="-6"/>
          <w:kern w:val="0"/>
          <w:sz w:val="44"/>
          <w:szCs w:val="44"/>
          <w:highlight w:val="none"/>
          <w:lang w:val="en-US" w:eastAsia="zh-CN"/>
        </w:rPr>
        <w:t>)</w:t>
      </w:r>
    </w:p>
    <w:p>
      <w:pPr>
        <w:jc w:val="right"/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24"/>
          <w:szCs w:val="24"/>
          <w:highlight w:val="none"/>
        </w:rPr>
        <w:t>单位：万元</w:t>
      </w:r>
    </w:p>
    <w:tbl>
      <w:tblPr>
        <w:tblStyle w:val="6"/>
        <w:tblpPr w:leftFromText="180" w:rightFromText="180" w:vertAnchor="text" w:horzAnchor="page" w:tblpX="1875" w:tblpY="70"/>
        <w:tblOverlap w:val="never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1"/>
        <w:gridCol w:w="3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  <w:t>项    目</w:t>
            </w:r>
          </w:p>
        </w:tc>
        <w:tc>
          <w:tcPr>
            <w:tcW w:w="3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  <w:t>完成数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ahoma" w:eastAsia="仿宋_GB2312" w:cs="仿宋_GB2312"/>
                <w:b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一般公共预算支出</w:t>
            </w:r>
          </w:p>
        </w:tc>
        <w:tc>
          <w:tcPr>
            <w:tcW w:w="3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Tahoma"/>
                <w:b/>
                <w:bCs/>
                <w:color w:val="auto"/>
                <w:spacing w:val="0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574424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仿宋_GB2312" w:hAnsi="宋体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一、一般公共服务支出</w:t>
            </w:r>
          </w:p>
        </w:tc>
        <w:tc>
          <w:tcPr>
            <w:tcW w:w="3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45055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仿宋_GB2312" w:hAnsi="宋体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 xml:space="preserve">二、外交支出 </w:t>
            </w:r>
          </w:p>
        </w:tc>
        <w:tc>
          <w:tcPr>
            <w:tcW w:w="3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仿宋_GB2312" w:hAnsi="宋体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三、国防支出</w:t>
            </w:r>
          </w:p>
        </w:tc>
        <w:tc>
          <w:tcPr>
            <w:tcW w:w="3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仿宋_GB2312" w:hAnsi="宋体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四、公共安全支出</w:t>
            </w:r>
          </w:p>
        </w:tc>
        <w:tc>
          <w:tcPr>
            <w:tcW w:w="3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16844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仿宋_GB2312" w:hAnsi="宋体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五、教育支出</w:t>
            </w:r>
          </w:p>
        </w:tc>
        <w:tc>
          <w:tcPr>
            <w:tcW w:w="3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132164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仿宋_GB2312" w:hAnsi="宋体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六、科学技术支出</w:t>
            </w:r>
          </w:p>
        </w:tc>
        <w:tc>
          <w:tcPr>
            <w:tcW w:w="3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47428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仿宋_GB2312" w:hAnsi="宋体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七、文化旅游体育与传媒支出</w:t>
            </w:r>
          </w:p>
        </w:tc>
        <w:tc>
          <w:tcPr>
            <w:tcW w:w="3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5635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仿宋_GB2312" w:hAnsi="宋体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八、社会保障和就业支出</w:t>
            </w:r>
          </w:p>
        </w:tc>
        <w:tc>
          <w:tcPr>
            <w:tcW w:w="3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70968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仿宋_GB2312" w:hAnsi="宋体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九、卫生健康支出</w:t>
            </w:r>
          </w:p>
        </w:tc>
        <w:tc>
          <w:tcPr>
            <w:tcW w:w="3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23834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仿宋_GB2312" w:hAnsi="宋体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十、节能环保支出</w:t>
            </w:r>
          </w:p>
        </w:tc>
        <w:tc>
          <w:tcPr>
            <w:tcW w:w="3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26676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仿宋_GB2312" w:hAnsi="宋体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十一、城乡社区支出</w:t>
            </w:r>
          </w:p>
        </w:tc>
        <w:tc>
          <w:tcPr>
            <w:tcW w:w="3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22671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仿宋_GB2312" w:hAnsi="宋体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十二、农林水支出</w:t>
            </w:r>
          </w:p>
        </w:tc>
        <w:tc>
          <w:tcPr>
            <w:tcW w:w="3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119642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仿宋_GB2312" w:hAnsi="宋体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十三、交通运输支出</w:t>
            </w:r>
          </w:p>
        </w:tc>
        <w:tc>
          <w:tcPr>
            <w:tcW w:w="3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仿宋_GB2312" w:hAnsi="宋体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十四、资源勘探信息等支出</w:t>
            </w:r>
          </w:p>
        </w:tc>
        <w:tc>
          <w:tcPr>
            <w:tcW w:w="3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仿宋_GB2312" w:hAnsi="宋体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十五、商业服务业等支出</w:t>
            </w:r>
          </w:p>
        </w:tc>
        <w:tc>
          <w:tcPr>
            <w:tcW w:w="3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仿宋_GB2312" w:hAnsi="宋体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十六、金融支出</w:t>
            </w:r>
          </w:p>
        </w:tc>
        <w:tc>
          <w:tcPr>
            <w:tcW w:w="3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仿宋_GB2312" w:hAnsi="宋体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十</w:t>
            </w:r>
            <w:r>
              <w:rPr>
                <w:rFonts w:hint="eastAsia" w:ascii="仿宋_GB2312" w:hAnsi="Tahoma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七</w:t>
            </w:r>
            <w:r>
              <w:rPr>
                <w:rFonts w:hint="eastAsia" w:ascii="仿宋_GB2312" w:hAnsi="Tahoma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、自然资源海洋气象等支出</w:t>
            </w:r>
          </w:p>
        </w:tc>
        <w:tc>
          <w:tcPr>
            <w:tcW w:w="3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仿宋_GB2312" w:hAnsi="宋体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十</w:t>
            </w:r>
            <w:r>
              <w:rPr>
                <w:rFonts w:hint="eastAsia" w:ascii="仿宋_GB2312" w:hAnsi="Tahoma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八</w:t>
            </w:r>
            <w:r>
              <w:rPr>
                <w:rFonts w:hint="eastAsia" w:ascii="仿宋_GB2312" w:hAnsi="Tahoma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、住房保障支出</w:t>
            </w:r>
          </w:p>
        </w:tc>
        <w:tc>
          <w:tcPr>
            <w:tcW w:w="3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仿宋_GB2312" w:hAnsi="宋体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十九</w:t>
            </w:r>
            <w:r>
              <w:rPr>
                <w:rFonts w:hint="eastAsia" w:ascii="仿宋_GB2312" w:hAnsi="Tahoma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、粮油物资储备支出</w:t>
            </w:r>
          </w:p>
        </w:tc>
        <w:tc>
          <w:tcPr>
            <w:tcW w:w="3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仿宋_GB2312" w:hAnsi="Tahoma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二十、灾害防治及应急管理支出</w:t>
            </w:r>
          </w:p>
        </w:tc>
        <w:tc>
          <w:tcPr>
            <w:tcW w:w="3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仿宋_GB2312" w:hAnsi="宋体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二十</w:t>
            </w:r>
            <w:r>
              <w:rPr>
                <w:rFonts w:hint="eastAsia" w:ascii="仿宋_GB2312" w:hAnsi="Tahoma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一</w:t>
            </w:r>
            <w:r>
              <w:rPr>
                <w:rFonts w:hint="eastAsia" w:ascii="仿宋_GB2312" w:hAnsi="Tahoma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、其他支出</w:t>
            </w:r>
          </w:p>
        </w:tc>
        <w:tc>
          <w:tcPr>
            <w:tcW w:w="3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4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仿宋_GB2312" w:hAnsi="宋体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二十</w:t>
            </w:r>
            <w:r>
              <w:rPr>
                <w:rFonts w:hint="eastAsia" w:ascii="仿宋_GB2312" w:hAnsi="Tahoma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二</w:t>
            </w:r>
            <w:r>
              <w:rPr>
                <w:rFonts w:hint="eastAsia" w:ascii="仿宋_GB2312" w:hAnsi="Tahoma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、债务付息支出</w:t>
            </w:r>
          </w:p>
        </w:tc>
        <w:tc>
          <w:tcPr>
            <w:tcW w:w="3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10850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24"/>
          <w:szCs w:val="24"/>
          <w:highlight w:val="none"/>
        </w:rPr>
        <w:t>注：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2024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24"/>
          <w:szCs w:val="24"/>
          <w:highlight w:val="none"/>
        </w:rPr>
        <w:t>年一般公共预算支出资金来源包括一般公共预算本级收入、上级转移支付和地方政府一般债券资金。</w:t>
      </w:r>
    </w:p>
    <w:p>
      <w:pPr>
        <w:rPr>
          <w:rFonts w:hint="default" w:asciiTheme="minorAscii" w:hAnsiTheme="minorAscii" w:eastAsiaTheme="minorEastAsia"/>
          <w:snapToGrid w:val="0"/>
          <w:color w:val="auto"/>
          <w:kern w:val="0"/>
          <w:sz w:val="21"/>
          <w:highlight w:val="none"/>
        </w:rPr>
      </w:pPr>
      <w:r>
        <w:rPr>
          <w:rFonts w:hint="default" w:asciiTheme="minorAscii" w:hAnsiTheme="minorAscii" w:eastAsiaTheme="minorEastAsia"/>
          <w:snapToGrid w:val="0"/>
          <w:color w:val="auto"/>
          <w:kern w:val="0"/>
          <w:sz w:val="21"/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textAlignment w:val="auto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</w:rPr>
        <w:t>附表3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napToGrid w:val="0"/>
          <w:color w:val="auto"/>
          <w:spacing w:val="-17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napToGrid w:val="0"/>
          <w:color w:val="auto"/>
          <w:spacing w:val="-17"/>
          <w:kern w:val="0"/>
          <w:sz w:val="44"/>
          <w:szCs w:val="44"/>
          <w:highlight w:val="none"/>
          <w:lang w:val="en-US" w:eastAsia="zh-CN"/>
        </w:rPr>
        <w:t>淅川县2024年政府性基金预算收支完成情况表（草    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right"/>
        <w:textAlignment w:val="auto"/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24"/>
          <w:szCs w:val="24"/>
          <w:highlight w:val="none"/>
        </w:rPr>
        <w:t>单位：万元</w:t>
      </w:r>
    </w:p>
    <w:tbl>
      <w:tblPr>
        <w:tblStyle w:val="6"/>
        <w:tblW w:w="90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2"/>
        <w:gridCol w:w="1134"/>
        <w:gridCol w:w="2976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项    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收</w:t>
            </w:r>
            <w:r>
              <w:rPr>
                <w:rFonts w:hint="eastAsia" w:ascii="黑体" w:hAnsi="宋体" w:eastAsia="黑体" w:cs="宋体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完成数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项    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支</w:t>
            </w:r>
            <w:r>
              <w:rPr>
                <w:rFonts w:hint="eastAsia" w:ascii="黑体" w:hAnsi="宋体" w:eastAsia="黑体" w:cs="宋体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完成数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3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政府性基金预算收入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106316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政府性基金预算支出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auto"/>
                <w:spacing w:val="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211966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一、国家电影事业发展专项资金收入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一、国家电影事业发展专项资金安排的支出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、大中型水库移民后期扶持基金收入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、大中型水库移民后期扶持基金支出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6110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、大中型水库库区基金相关收入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三、小型水库移民扶助基金安排的支出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、城市基础设施配套费收入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2364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四、国有土地使用权出让收入安排的支出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98189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、国有土地使用权出让收入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101399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五、棚户区改造专项债券收入安排的支出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25400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六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、农业土地开发资金收入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325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六、国有土地收益基金相关支出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4727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七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、国有土地收益基金收入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1947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七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、彩票公益金安排的支出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854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八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、彩票公益金收入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八、大中型水库库区基金安排的支出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166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九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、 污水处理费收入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281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九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、其他政府性基金及对应专项债务收入安排的支出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49000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、其他政府性基金相关收入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十、地方政府专项债务付息支出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27420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24"/>
          <w:szCs w:val="24"/>
          <w:highlight w:val="none"/>
        </w:rPr>
        <w:t>注：20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24"/>
          <w:szCs w:val="24"/>
          <w:highlight w:val="none"/>
        </w:rPr>
        <w:t>年政府性基金预算支出资金来源包括政府性基金预算本级收入、上级转移支付和地方政府专项债券资金。</w:t>
      </w:r>
    </w:p>
    <w:p>
      <w:pPr>
        <w:rPr>
          <w:rFonts w:hint="eastAsia" w:asciiTheme="minorAscii" w:hAnsiTheme="minorAscii" w:eastAsiaTheme="minorEastAsia"/>
          <w:snapToGrid w:val="0"/>
          <w:color w:val="auto"/>
          <w:kern w:val="0"/>
          <w:sz w:val="21"/>
          <w:highlight w:val="none"/>
          <w:u w:val="none"/>
        </w:rPr>
      </w:pPr>
      <w:r>
        <w:rPr>
          <w:rFonts w:hint="eastAsia" w:asciiTheme="minorAscii" w:hAnsiTheme="minorAscii" w:eastAsiaTheme="minorEastAsia"/>
          <w:snapToGrid w:val="0"/>
          <w:color w:val="auto"/>
          <w:kern w:val="0"/>
          <w:sz w:val="21"/>
          <w:highlight w:val="none"/>
          <w:u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rPr>
          <w:rFonts w:hint="eastAsia" w:ascii="黑体" w:hAnsi="Times New Roman" w:eastAsia="黑体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黑体" w:hAnsi="Times New Roman" w:eastAsia="黑体" w:cs="Times New Roman"/>
          <w:color w:val="auto"/>
          <w:sz w:val="32"/>
          <w:szCs w:val="32"/>
          <w:highlight w:val="none"/>
          <w:u w:val="none"/>
        </w:rPr>
        <w:t>附表4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rPr>
          <w:rFonts w:hint="eastAsia" w:ascii="方正大标宋简体" w:hAnsi="仿宋" w:eastAsia="方正大标宋简体" w:cs="仿宋"/>
          <w:color w:val="auto"/>
          <w:spacing w:val="-17"/>
          <w:kern w:val="2"/>
          <w:sz w:val="44"/>
          <w:highlight w:val="none"/>
          <w:u w:val="none"/>
          <w:lang w:val="en-US" w:eastAsia="zh-CN" w:bidi="ar-SA"/>
        </w:rPr>
      </w:pPr>
      <w:r>
        <w:rPr>
          <w:rFonts w:hint="eastAsia" w:ascii="方正大标宋简体" w:hAnsi="仿宋" w:eastAsia="方正大标宋简体" w:cs="仿宋"/>
          <w:color w:val="auto"/>
          <w:spacing w:val="-23"/>
          <w:kern w:val="2"/>
          <w:sz w:val="44"/>
          <w:highlight w:val="none"/>
          <w:u w:val="none"/>
          <w:lang w:val="en-US" w:eastAsia="zh-CN" w:bidi="ar-SA"/>
        </w:rPr>
        <w:t>淅川县2024年国有资本经营预算收支完成情况表</w:t>
      </w:r>
      <w:r>
        <w:rPr>
          <w:rFonts w:hint="eastAsia" w:ascii="方正大标宋简体" w:hAnsi="方正大标宋简体" w:eastAsia="方正大标宋简体" w:cs="方正大标宋简体"/>
          <w:snapToGrid w:val="0"/>
          <w:color w:val="auto"/>
          <w:spacing w:val="-17"/>
          <w:kern w:val="0"/>
          <w:sz w:val="44"/>
          <w:szCs w:val="44"/>
          <w:highlight w:val="none"/>
          <w:lang w:val="en-US" w:eastAsia="zh-CN"/>
        </w:rPr>
        <w:t>（草    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楷体_GB2312" w:hAnsi="宋体" w:eastAsia="楷体_GB2312" w:cs="Times New Roman"/>
          <w:b/>
          <w:color w:val="auto"/>
          <w:spacing w:val="0"/>
          <w:kern w:val="0"/>
          <w:sz w:val="24"/>
          <w:highlight w:val="none"/>
          <w:u w:val="none"/>
        </w:rPr>
      </w:pPr>
      <w:r>
        <w:rPr>
          <w:rFonts w:hint="eastAsia" w:ascii="楷体_GB2312" w:hAnsi="宋体" w:eastAsia="楷体_GB2312" w:cs="Times New Roman"/>
          <w:b/>
          <w:color w:val="auto"/>
          <w:spacing w:val="0"/>
          <w:kern w:val="0"/>
          <w:sz w:val="24"/>
          <w:highlight w:val="none"/>
          <w:u w:val="none"/>
        </w:rPr>
        <w:t>单位：万元</w:t>
      </w:r>
    </w:p>
    <w:tbl>
      <w:tblPr>
        <w:tblStyle w:val="6"/>
        <w:tblW w:w="88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2198"/>
        <w:gridCol w:w="2382"/>
        <w:gridCol w:w="2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219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收入</w:t>
            </w:r>
          </w:p>
        </w:tc>
        <w:tc>
          <w:tcPr>
            <w:tcW w:w="4614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2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预算科目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完成数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预算科目</w:t>
            </w:r>
          </w:p>
        </w:tc>
        <w:tc>
          <w:tcPr>
            <w:tcW w:w="223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完成数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21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利润收入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解决历史遗留问题及改革成本支出</w:t>
            </w:r>
          </w:p>
        </w:tc>
        <w:tc>
          <w:tcPr>
            <w:tcW w:w="22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黑体" w:hAnsi="Times New Roman" w:eastAsia="黑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21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股利、股息收入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国有企业资本金注入</w:t>
            </w:r>
          </w:p>
        </w:tc>
        <w:tc>
          <w:tcPr>
            <w:tcW w:w="22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Times New Roman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21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产权转让收入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国有企业政策性补贴</w:t>
            </w:r>
          </w:p>
        </w:tc>
        <w:tc>
          <w:tcPr>
            <w:tcW w:w="22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Times New Roman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21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清算收入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金融国有资本经营预算支出</w:t>
            </w:r>
          </w:p>
        </w:tc>
        <w:tc>
          <w:tcPr>
            <w:tcW w:w="22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Times New Roman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21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其他国有资本经营预算收入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1348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其他国有资本经营预算支出</w:t>
            </w:r>
          </w:p>
        </w:tc>
        <w:tc>
          <w:tcPr>
            <w:tcW w:w="22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1236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021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本年收入合计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1448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本年支出合计</w:t>
            </w:r>
          </w:p>
        </w:tc>
        <w:tc>
          <w:tcPr>
            <w:tcW w:w="22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021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上级补助收入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33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021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上年结余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122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21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省补助计划单列市收入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82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02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调出资金</w:t>
            </w:r>
          </w:p>
        </w:tc>
        <w:tc>
          <w:tcPr>
            <w:tcW w:w="22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02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年终结余</w:t>
            </w:r>
          </w:p>
        </w:tc>
        <w:tc>
          <w:tcPr>
            <w:tcW w:w="22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021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收入总计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1603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支出总计</w:t>
            </w:r>
          </w:p>
        </w:tc>
        <w:tc>
          <w:tcPr>
            <w:tcW w:w="22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1603</w:t>
            </w:r>
          </w:p>
        </w:tc>
      </w:tr>
    </w:tbl>
    <w:p>
      <w:pPr>
        <w:rPr>
          <w:rFonts w:hint="default" w:asciiTheme="minorAscii" w:hAnsiTheme="minorAscii" w:eastAsiaTheme="minorEastAsia"/>
          <w:snapToGrid w:val="0"/>
          <w:color w:val="auto"/>
          <w:kern w:val="0"/>
          <w:sz w:val="21"/>
          <w:highlight w:val="none"/>
        </w:rPr>
      </w:pPr>
      <w:r>
        <w:rPr>
          <w:rFonts w:hint="default" w:asciiTheme="minorAscii" w:hAnsiTheme="minorAscii" w:eastAsiaTheme="minorEastAsia"/>
          <w:snapToGrid w:val="0"/>
          <w:color w:val="auto"/>
          <w:kern w:val="0"/>
          <w:sz w:val="21"/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rPr>
          <w:rFonts w:hint="eastAsia" w:ascii="方正大标宋简体" w:hAnsi="仿宋" w:eastAsia="方正大标宋简体" w:cs="仿宋"/>
          <w:color w:val="auto"/>
          <w:spacing w:val="0"/>
          <w:sz w:val="44"/>
          <w:highlight w:val="none"/>
        </w:rPr>
      </w:pPr>
      <w:r>
        <w:rPr>
          <w:rFonts w:hint="eastAsia" w:ascii="黑体" w:hAnsi="Times New Roman" w:eastAsia="黑体" w:cs="Times New Roman"/>
          <w:color w:val="auto"/>
          <w:sz w:val="32"/>
          <w:szCs w:val="32"/>
          <w:highlight w:val="none"/>
          <w:u w:val="none"/>
        </w:rPr>
        <w:t>附表</w:t>
      </w:r>
      <w:r>
        <w:rPr>
          <w:rFonts w:hint="eastAsia" w:ascii="黑体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20" w:lineRule="exact"/>
        <w:jc w:val="center"/>
        <w:textAlignment w:val="auto"/>
        <w:rPr>
          <w:rFonts w:hint="eastAsia" w:ascii="楷体_GB2312" w:eastAsia="楷体_GB2312"/>
          <w:b/>
          <w:color w:val="auto"/>
          <w:sz w:val="32"/>
          <w:szCs w:val="32"/>
          <w:highlight w:val="none"/>
        </w:rPr>
      </w:pPr>
      <w:r>
        <w:rPr>
          <w:rFonts w:hint="eastAsia" w:ascii="方正大标宋简体" w:hAnsi="方正大标宋简体" w:eastAsia="方正大标宋简体" w:cs="方正大标宋简体"/>
          <w:snapToGrid w:val="0"/>
          <w:color w:val="auto"/>
          <w:spacing w:val="-6"/>
          <w:kern w:val="0"/>
          <w:sz w:val="44"/>
          <w:szCs w:val="44"/>
          <w:highlight w:val="none"/>
        </w:rPr>
        <w:t>淅川县</w:t>
      </w:r>
      <w:r>
        <w:rPr>
          <w:rFonts w:hint="eastAsia" w:ascii="方正大标宋简体" w:hAnsi="方正大标宋简体" w:eastAsia="方正大标宋简体" w:cs="方正大标宋简体"/>
          <w:snapToGrid w:val="0"/>
          <w:color w:val="auto"/>
          <w:spacing w:val="-6"/>
          <w:kern w:val="0"/>
          <w:sz w:val="44"/>
          <w:szCs w:val="44"/>
          <w:highlight w:val="none"/>
          <w:lang w:val="en-US" w:eastAsia="zh-CN"/>
        </w:rPr>
        <w:t>2024</w:t>
      </w:r>
      <w:r>
        <w:rPr>
          <w:rFonts w:hint="eastAsia" w:ascii="方正大标宋简体" w:hAnsi="方正大标宋简体" w:eastAsia="方正大标宋简体" w:cs="方正大标宋简体"/>
          <w:snapToGrid w:val="0"/>
          <w:color w:val="auto"/>
          <w:spacing w:val="-6"/>
          <w:kern w:val="0"/>
          <w:sz w:val="44"/>
          <w:szCs w:val="44"/>
          <w:highlight w:val="none"/>
        </w:rPr>
        <w:t>年社会保险基金收支决算表</w:t>
      </w:r>
      <w:r>
        <w:rPr>
          <w:rFonts w:hint="eastAsia" w:ascii="方正大标宋简体" w:hAnsi="方正大标宋简体" w:eastAsia="方正大标宋简体" w:cs="方正大标宋简体"/>
          <w:snapToGrid w:val="0"/>
          <w:color w:val="auto"/>
          <w:spacing w:val="-6"/>
          <w:kern w:val="0"/>
          <w:sz w:val="44"/>
          <w:szCs w:val="44"/>
          <w:highlight w:val="none"/>
          <w:lang w:val="en-US" w:eastAsia="zh-CN"/>
        </w:rPr>
        <w:t>(</w:t>
      </w:r>
      <w:r>
        <w:rPr>
          <w:rFonts w:hint="eastAsia" w:ascii="方正大标宋简体" w:hAnsi="方正大标宋简体" w:eastAsia="方正大标宋简体" w:cs="方正大标宋简体"/>
          <w:snapToGrid w:val="0"/>
          <w:color w:val="auto"/>
          <w:spacing w:val="-6"/>
          <w:kern w:val="0"/>
          <w:sz w:val="44"/>
          <w:szCs w:val="44"/>
          <w:highlight w:val="none"/>
        </w:rPr>
        <w:t>草案</w:t>
      </w:r>
      <w:r>
        <w:rPr>
          <w:rFonts w:hint="eastAsia" w:ascii="方正大标宋简体" w:hAnsi="方正大标宋简体" w:eastAsia="方正大标宋简体" w:cs="方正大标宋简体"/>
          <w:snapToGrid w:val="0"/>
          <w:color w:val="auto"/>
          <w:spacing w:val="-6"/>
          <w:kern w:val="0"/>
          <w:sz w:val="44"/>
          <w:szCs w:val="44"/>
          <w:highlight w:val="none"/>
          <w:lang w:val="en-US" w:eastAsia="zh-CN"/>
        </w:rPr>
        <w:t>)</w:t>
      </w:r>
    </w:p>
    <w:p>
      <w:pPr>
        <w:ind w:right="278"/>
        <w:jc w:val="right"/>
        <w:rPr>
          <w:rFonts w:ascii="楷体_GB2312" w:eastAsia="楷体_GB2312"/>
          <w:b/>
          <w:color w:val="auto"/>
          <w:sz w:val="24"/>
          <w:szCs w:val="24"/>
          <w:highlight w:val="none"/>
        </w:rPr>
      </w:pPr>
      <w:r>
        <w:rPr>
          <w:rFonts w:hint="eastAsia" w:ascii="楷体_GB2312" w:eastAsia="楷体_GB2312"/>
          <w:b/>
          <w:color w:val="auto"/>
          <w:sz w:val="24"/>
          <w:szCs w:val="24"/>
          <w:highlight w:val="none"/>
        </w:rPr>
        <w:t>单位：万元</w:t>
      </w:r>
    </w:p>
    <w:tbl>
      <w:tblPr>
        <w:tblStyle w:val="6"/>
        <w:tblW w:w="8818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4"/>
        <w:gridCol w:w="1209"/>
        <w:gridCol w:w="1100"/>
        <w:gridCol w:w="964"/>
        <w:gridCol w:w="11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项　　目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收  入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支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 xml:space="preserve"> 出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结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 xml:space="preserve"> 余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年末滚存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结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 xml:space="preserve"> 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社会保险基金合计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168775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146703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22072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138156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城乡居民基本养老保险基金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31559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20625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10934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78638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  收入：个人缴费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14544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财政补助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15917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        其他收入（利息及转移收入）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1098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机关事业单位基本养老保险基金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50517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41158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9359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13231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  收入：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财政补助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11048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        经办机构征缴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38188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960" w:firstLineChars="40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其他收入（利息及转移收入）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1281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职工基本医疗保险基金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24896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19900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4996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28630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  收入：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财政补助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        经办机构征缴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23839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        其他收入（利息及转移收入）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1057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大额医保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1316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1544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-228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城乡居民基本医疗保险基金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60487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63476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-2989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17199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  收入：个人缴费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21064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财政补助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38908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960" w:firstLineChars="4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利息收入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338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        其他收入    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177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</w:rPr>
        <w:br w:type="page"/>
      </w:r>
    </w:p>
    <w:p>
      <w:pP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</w:rPr>
        <w:t>附表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6：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2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napToGrid w:val="0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大标宋简体" w:hAnsi="方正大标宋简体" w:eastAsia="方正大标宋简体" w:cs="方正大标宋简体"/>
          <w:snapToGrid w:val="0"/>
          <w:color w:val="auto"/>
          <w:kern w:val="0"/>
          <w:sz w:val="44"/>
          <w:szCs w:val="44"/>
          <w:highlight w:val="none"/>
        </w:rPr>
        <w:t>淅川县</w:t>
      </w:r>
      <w:r>
        <w:rPr>
          <w:rFonts w:hint="eastAsia" w:ascii="方正大标宋简体" w:hAnsi="方正大标宋简体" w:eastAsia="方正大标宋简体" w:cs="方正大标宋简体"/>
          <w:snapToGrid w:val="0"/>
          <w:color w:val="auto"/>
          <w:kern w:val="0"/>
          <w:sz w:val="44"/>
          <w:szCs w:val="44"/>
          <w:highlight w:val="none"/>
          <w:lang w:eastAsia="zh-CN"/>
        </w:rPr>
        <w:t>20</w:t>
      </w:r>
      <w:r>
        <w:rPr>
          <w:rFonts w:hint="eastAsia" w:ascii="方正大标宋简体" w:hAnsi="方正大标宋简体" w:eastAsia="方正大标宋简体" w:cs="方正大标宋简体"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24</w:t>
      </w:r>
      <w:r>
        <w:rPr>
          <w:rFonts w:hint="eastAsia" w:ascii="方正大标宋简体" w:hAnsi="方正大标宋简体" w:eastAsia="方正大标宋简体" w:cs="方正大标宋简体"/>
          <w:snapToGrid w:val="0"/>
          <w:color w:val="auto"/>
          <w:kern w:val="0"/>
          <w:sz w:val="44"/>
          <w:szCs w:val="44"/>
          <w:highlight w:val="none"/>
        </w:rPr>
        <w:t>年地方政府债务情况表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right"/>
        <w:textAlignment w:val="auto"/>
        <w:rPr>
          <w:rFonts w:hint="eastAsia" w:asciiTheme="minorAscii" w:hAnsiTheme="minorAscii" w:eastAsiaTheme="minorEastAsia"/>
          <w:snapToGrid w:val="0"/>
          <w:color w:val="auto"/>
          <w:kern w:val="0"/>
          <w:sz w:val="21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24"/>
          <w:szCs w:val="24"/>
          <w:highlight w:val="none"/>
        </w:rPr>
        <w:t>单位：万元</w:t>
      </w:r>
    </w:p>
    <w:tbl>
      <w:tblPr>
        <w:tblStyle w:val="7"/>
        <w:tblW w:w="85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2139"/>
        <w:gridCol w:w="2139"/>
        <w:gridCol w:w="2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139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项目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合计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一般债务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专项债务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13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480" w:lineRule="auto"/>
              <w:ind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 w:bidi="ar"/>
              </w:rPr>
              <w:t>债务限额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1273122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323108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950014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13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480" w:lineRule="auto"/>
              <w:ind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 w:bidi="ar"/>
              </w:rPr>
              <w:t>债务余额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1257921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320888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937033</w:t>
            </w:r>
          </w:p>
        </w:tc>
      </w:tr>
    </w:tbl>
    <w:p>
      <w:pPr>
        <w:rPr>
          <w:rFonts w:hint="default" w:asciiTheme="minorAscii" w:hAnsiTheme="minorAscii" w:eastAsiaTheme="minorEastAsia"/>
          <w:snapToGrid w:val="0"/>
          <w:color w:val="auto"/>
          <w:kern w:val="0"/>
          <w:sz w:val="21"/>
          <w:highlight w:val="none"/>
        </w:rPr>
      </w:pPr>
    </w:p>
    <w:p>
      <w:pPr>
        <w:pStyle w:val="2"/>
        <w:rPr>
          <w:rFonts w:hint="default" w:asciiTheme="minorAscii" w:hAnsiTheme="minorAscii" w:eastAsiaTheme="minorEastAsia"/>
          <w:snapToGrid w:val="0"/>
          <w:color w:val="auto"/>
          <w:kern w:val="0"/>
          <w:sz w:val="21"/>
          <w:highlight w:val="none"/>
        </w:rPr>
      </w:pPr>
    </w:p>
    <w:p>
      <w:pPr>
        <w:rPr>
          <w:color w:val="auto"/>
          <w:highlight w:val="none"/>
        </w:rPr>
      </w:pPr>
    </w:p>
    <w:sectPr>
      <w:footerReference r:id="rId3" w:type="default"/>
      <w:pgSz w:w="11906" w:h="16838"/>
      <w:pgMar w:top="1871" w:right="1531" w:bottom="1701" w:left="1644" w:header="851" w:footer="153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14A3"/>
    <w:rsid w:val="080B10F3"/>
    <w:rsid w:val="092263E9"/>
    <w:rsid w:val="0C361768"/>
    <w:rsid w:val="0C48008C"/>
    <w:rsid w:val="10041006"/>
    <w:rsid w:val="10436E1A"/>
    <w:rsid w:val="119054D7"/>
    <w:rsid w:val="11AE03CE"/>
    <w:rsid w:val="160F6FEB"/>
    <w:rsid w:val="1BCC7A15"/>
    <w:rsid w:val="1C314E69"/>
    <w:rsid w:val="24FD4BF2"/>
    <w:rsid w:val="258F7612"/>
    <w:rsid w:val="26CD05BE"/>
    <w:rsid w:val="293F1F23"/>
    <w:rsid w:val="2A247DF9"/>
    <w:rsid w:val="2BD33847"/>
    <w:rsid w:val="2F666780"/>
    <w:rsid w:val="2F6B380C"/>
    <w:rsid w:val="30833A2A"/>
    <w:rsid w:val="3AE47A8E"/>
    <w:rsid w:val="3B8A3BEB"/>
    <w:rsid w:val="3C6E4EC6"/>
    <w:rsid w:val="4022300F"/>
    <w:rsid w:val="42FF4ACA"/>
    <w:rsid w:val="44233990"/>
    <w:rsid w:val="47DE5FAA"/>
    <w:rsid w:val="48376AB4"/>
    <w:rsid w:val="486949F8"/>
    <w:rsid w:val="489F71CD"/>
    <w:rsid w:val="491F1A22"/>
    <w:rsid w:val="49A110BA"/>
    <w:rsid w:val="5DF83E1D"/>
    <w:rsid w:val="69230C63"/>
    <w:rsid w:val="6BC83012"/>
    <w:rsid w:val="6C53360D"/>
    <w:rsid w:val="6CE81FA7"/>
    <w:rsid w:val="6EEA5B8F"/>
    <w:rsid w:val="70EE1B56"/>
    <w:rsid w:val="75C5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10"/>
    <w:pPr>
      <w:widowControl w:val="0"/>
      <w:spacing w:before="120" w:after="120" w:line="360" w:lineRule="auto"/>
      <w:jc w:val="center"/>
      <w:outlineLvl w:val="0"/>
    </w:pPr>
    <w:rPr>
      <w:rFonts w:ascii="Cambria" w:hAnsi="Cambria" w:eastAsia="宋体" w:cs="Times New Roman"/>
      <w:b/>
      <w:kern w:val="2"/>
      <w:sz w:val="21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5299</Words>
  <Characters>6205</Characters>
  <Lines>0</Lines>
  <Paragraphs>0</Paragraphs>
  <TotalTime>21</TotalTime>
  <ScaleCrop>false</ScaleCrop>
  <LinksUpToDate>false</LinksUpToDate>
  <CharactersWithSpaces>6350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2025-07-21T02:07:00Z</dcterms:created>
  <dc:creator>11658</dc:creator>
  <cp:lastModifiedBy>ovo</cp:lastModifiedBy>
  <dcterms:modified xsi:type="dcterms:W3CDTF">2025-12-09T07:11:05Z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eyJoZGlkIjoiZmIwZjgyZTE4OWZiZGZkMzhmZTVlMWY2OTAzYzQ4OWQiLCJ1c2VySWQiOiI2NTcyOTk4ODUifQ==</vt:lpwstr>
  </property>
  <property fmtid="{D5CDD505-2E9C-101B-9397-08002B2CF9AE}" pid="4" name="ICV">
    <vt:lpwstr>9D6F20225CBA4883A22BDFD1645B6C1C_13</vt:lpwstr>
  </property>
</Properties>
</file>