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大标宋简体" w:hAnsi="方正大标宋简体" w:eastAsia="方正大标宋简体" w:cs="方正大标宋简体"/>
          <w:snapToGrid w:val="0"/>
          <w:kern w:val="0"/>
          <w:sz w:val="44"/>
          <w:szCs w:val="44"/>
        </w:rPr>
      </w:pPr>
      <w:r>
        <w:rPr>
          <w:rFonts w:hint="eastAsia" w:ascii="方正大标宋简体" w:hAnsi="方正大标宋简体" w:eastAsia="方正大标宋简体" w:cs="方正大标宋简体"/>
          <w:snapToGrid w:val="0"/>
          <w:kern w:val="0"/>
          <w:sz w:val="44"/>
          <w:szCs w:val="44"/>
        </w:rPr>
        <w:t>关于淅川县2023年预算执行情况和</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大标宋简体" w:hAnsi="方正大标宋简体" w:eastAsia="方正大标宋简体" w:cs="方正大标宋简体"/>
          <w:snapToGrid w:val="0"/>
          <w:kern w:val="0"/>
          <w:sz w:val="44"/>
          <w:szCs w:val="44"/>
        </w:rPr>
      </w:pPr>
      <w:r>
        <w:rPr>
          <w:rFonts w:hint="eastAsia" w:ascii="方正大标宋简体" w:hAnsi="方正大标宋简体" w:eastAsia="方正大标宋简体" w:cs="方正大标宋简体"/>
          <w:snapToGrid w:val="0"/>
          <w:kern w:val="0"/>
          <w:sz w:val="44"/>
          <w:szCs w:val="44"/>
        </w:rPr>
        <w:t>2024年预算草案的报告</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——2024年3月6日在县十六届人民代表大会第三次会议上</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淅川县财政局</w:t>
      </w:r>
      <w:r>
        <w:rPr>
          <w:rFonts w:hint="eastAsia" w:ascii="楷体_GB2312" w:hAnsi="楷体_GB2312" w:eastAsia="楷体_GB2312" w:cs="楷体_GB2312"/>
          <w:b/>
          <w:bCs/>
          <w:snapToGrid w:val="0"/>
          <w:kern w:val="0"/>
          <w:sz w:val="32"/>
          <w:szCs w:val="32"/>
          <w:lang w:val="en-US" w:eastAsia="zh-CN"/>
        </w:rPr>
        <w:t xml:space="preserve">  </w:t>
      </w:r>
      <w:r>
        <w:rPr>
          <w:rFonts w:hint="eastAsia" w:ascii="楷体_GB2312" w:hAnsi="楷体_GB2312" w:eastAsia="楷体_GB2312" w:cs="楷体_GB2312"/>
          <w:b/>
          <w:bCs/>
          <w:snapToGrid w:val="0"/>
          <w:kern w:val="0"/>
          <w:sz w:val="32"/>
          <w:szCs w:val="32"/>
        </w:rPr>
        <w:t>陈</w:t>
      </w:r>
      <w:r>
        <w:rPr>
          <w:rFonts w:hint="eastAsia" w:ascii="楷体_GB2312" w:hAnsi="楷体_GB2312" w:eastAsia="楷体_GB2312" w:cs="楷体_GB2312"/>
          <w:b/>
          <w:bCs/>
          <w:snapToGrid w:val="0"/>
          <w:kern w:val="0"/>
          <w:sz w:val="32"/>
          <w:szCs w:val="32"/>
          <w:lang w:val="en-US" w:eastAsia="zh-CN"/>
        </w:rPr>
        <w:t xml:space="preserve">  </w:t>
      </w:r>
      <w:r>
        <w:rPr>
          <w:rFonts w:hint="eastAsia" w:ascii="楷体_GB2312" w:hAnsi="楷体_GB2312" w:eastAsia="楷体_GB2312" w:cs="楷体_GB2312"/>
          <w:b/>
          <w:bCs/>
          <w:snapToGrid w:val="0"/>
          <w:kern w:val="0"/>
          <w:sz w:val="32"/>
          <w:szCs w:val="32"/>
        </w:rPr>
        <w:t>飞</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各位代表：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受县政府委托，现将2023年预算执行情况和2024年预算草案提请县十六届人大三次会议审查，并请各位政协委员和其他列席人员提出意见。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一、2023年预算执行情况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2023年，面对严峻的经济形势和艰巨的发展任务，在县委坚强领导和县人大监督指导下，坚持以“双九战略”为指引，以保障和改善民生为立足点，全力以赴拼经济，为民理财促发展，全县经济呈现稳中有进的良好态势。在此基础上，财政预算执行情况总体较好。</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（一）2023年预算收支情况</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1.一般公共预算</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napToGrid w:val="0"/>
          <w:spacing w:val="-6"/>
          <w:kern w:val="0"/>
          <w:sz w:val="32"/>
          <w:szCs w:val="32"/>
        </w:rPr>
      </w:pPr>
      <w:r>
        <w:rPr>
          <w:rFonts w:hint="eastAsia" w:ascii="仿宋_GB2312" w:hAnsi="仿宋_GB2312" w:eastAsia="仿宋_GB2312" w:cs="仿宋_GB2312"/>
          <w:b/>
          <w:bCs/>
          <w:snapToGrid w:val="0"/>
          <w:kern w:val="0"/>
          <w:sz w:val="32"/>
          <w:szCs w:val="32"/>
        </w:rPr>
        <w:t>一般公共预算收入情况。</w:t>
      </w:r>
      <w:r>
        <w:rPr>
          <w:rFonts w:hint="eastAsia" w:ascii="仿宋_GB2312" w:hAnsi="仿宋_GB2312" w:eastAsia="仿宋_GB2312" w:cs="仿宋_GB2312"/>
          <w:snapToGrid w:val="0"/>
          <w:kern w:val="0"/>
          <w:sz w:val="32"/>
          <w:szCs w:val="32"/>
        </w:rPr>
        <w:t>2023年全县一般公共预算收入完成166465万元，比上年增长14.2%，其中：税收收入完成106284万元，比上年增长12.1%，占一般公共预算收入的63.8%；非税收入完成60181万元，比上年增长18.2%，占一般公共预算收入的36.2%。2023年全县一般公共预算本级收入加上级转移支付</w:t>
      </w:r>
      <w:r>
        <w:rPr>
          <w:rFonts w:hint="eastAsia" w:ascii="仿宋_GB2312" w:hAnsi="仿宋_GB2312" w:eastAsia="仿宋_GB2312" w:cs="仿宋_GB2312"/>
          <w:snapToGrid w:val="0"/>
          <w:spacing w:val="-6"/>
          <w:kern w:val="0"/>
          <w:sz w:val="32"/>
          <w:szCs w:val="32"/>
        </w:rPr>
        <w:t>和债券资金、减去上解支出后，一般公共预算财力为580539万元。</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一般公共预算支出情况。</w:t>
      </w:r>
      <w:r>
        <w:rPr>
          <w:rFonts w:hint="eastAsia" w:ascii="仿宋_GB2312" w:hAnsi="仿宋_GB2312" w:eastAsia="仿宋_GB2312" w:cs="仿宋_GB2312"/>
          <w:snapToGrid w:val="0"/>
          <w:kern w:val="0"/>
          <w:sz w:val="32"/>
          <w:szCs w:val="32"/>
        </w:rPr>
        <w:t>2023年全县一般公共预算支出完成580539万元。其中：一般公共服务支出48499万元，公共安全支出12428万元，教育支出132164万元，社会保障和就业支出68531万元，卫生健康支出41457万元，节能环保支出26546万元，农林水支出119275万元，住房保障支出11056万元。</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2.政府性基金预算</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政府性基金预算收入情况。</w:t>
      </w:r>
      <w:r>
        <w:rPr>
          <w:rFonts w:hint="eastAsia" w:ascii="仿宋_GB2312" w:hAnsi="仿宋_GB2312" w:eastAsia="仿宋_GB2312" w:cs="仿宋_GB2312"/>
          <w:snapToGrid w:val="0"/>
          <w:kern w:val="0"/>
          <w:sz w:val="32"/>
          <w:szCs w:val="32"/>
        </w:rPr>
        <w:t>2023年政府性基金预算收入完成146240万元，其中：国有土地使用权出让收入131535万元。</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政府性基金预算支出情况。</w:t>
      </w:r>
      <w:r>
        <w:rPr>
          <w:rFonts w:hint="eastAsia" w:ascii="仿宋_GB2312" w:hAnsi="仿宋_GB2312" w:eastAsia="仿宋_GB2312" w:cs="仿宋_GB2312"/>
          <w:snapToGrid w:val="0"/>
          <w:kern w:val="0"/>
          <w:sz w:val="32"/>
          <w:szCs w:val="32"/>
        </w:rPr>
        <w:t>2023年政府性基金预算支出完成229421万元。其中：国有土地使用权出让收入安排的支出78200万元，政府性基金及对应专项债务收入安排的支出117900万元。</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3.国有资本经营预算</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2023年国有资本经营预算收入完成1494万元，支出完成1494万元。</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4.社会保险基金预算</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2023年社会保险基金预算收入完成101483万元，支出完成85384万元。</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（二）政府债务情况</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省政府核定我县2023年政府新增债务限额1197918万元，其中：一般债务限额365604万元，专项债务限额832314万元。</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截至2023年底，我县政府债务余额1117967万元，其中：一般债务余额297634万元，专项债务余额820333万元。</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全县债务余额低于债务限额，政府债务风险整体可控。</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（三）落实县人大决议和财政工作情况</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根据县十六届人大二次会议有关决议和审查意见，按照“积极的财政政策加力提效，注重精准、更可持续”的要求，加强财政资金统筹，提升财政管理水平，防范化解重大风险，为全县经济社会稳健发展提供了较好保障。</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1.资金筹措有力有效。一是抓实抓细收入征管。</w:t>
      </w:r>
      <w:r>
        <w:rPr>
          <w:rFonts w:hint="eastAsia" w:ascii="仿宋_GB2312" w:hAnsi="仿宋_GB2312" w:eastAsia="仿宋_GB2312" w:cs="仿宋_GB2312"/>
          <w:snapToGrid w:val="0"/>
          <w:kern w:val="0"/>
          <w:sz w:val="32"/>
          <w:szCs w:val="32"/>
        </w:rPr>
        <w:t>强化财税部门联动，落实“周分析、月摸排”制度，跟踪重点企业和重大项目纳税申报，依法依规组织税收，圆满完成年度收入目标任务。</w:t>
      </w:r>
      <w:r>
        <w:rPr>
          <w:rFonts w:hint="eastAsia" w:ascii="仿宋_GB2312" w:hAnsi="仿宋_GB2312" w:eastAsia="仿宋_GB2312" w:cs="仿宋_GB2312"/>
          <w:b/>
          <w:bCs/>
          <w:snapToGrid w:val="0"/>
          <w:kern w:val="0"/>
          <w:sz w:val="32"/>
          <w:szCs w:val="32"/>
        </w:rPr>
        <w:t>二是资金争取成果丰硕。</w:t>
      </w:r>
      <w:r>
        <w:rPr>
          <w:rFonts w:hint="eastAsia" w:ascii="仿宋_GB2312" w:hAnsi="仿宋_GB2312" w:eastAsia="仿宋_GB2312" w:cs="仿宋_GB2312"/>
          <w:snapToGrid w:val="0"/>
          <w:kern w:val="0"/>
          <w:sz w:val="32"/>
          <w:szCs w:val="32"/>
        </w:rPr>
        <w:t>坚持“紧盯、勤跑、巧争”，跑部进省对接，瞄准政策动向，精准筛报项目，争取上级在安排项目资金时给予淅川更大倾斜、更多支持。全年共向上争取资金46.25亿元，其中：债券资金11.79亿元、财力性转移支付12.93亿元、重点生态功能区转移支付4.82亿元、土地指标跨省域调剂收入1.28亿元等。</w:t>
      </w:r>
      <w:r>
        <w:rPr>
          <w:rFonts w:hint="eastAsia" w:ascii="仿宋_GB2312" w:hAnsi="仿宋_GB2312" w:eastAsia="仿宋_GB2312" w:cs="仿宋_GB2312"/>
          <w:b/>
          <w:bCs/>
          <w:snapToGrid w:val="0"/>
          <w:kern w:val="0"/>
          <w:sz w:val="32"/>
          <w:szCs w:val="32"/>
        </w:rPr>
        <w:t>三是超前储备债券项目。</w:t>
      </w:r>
      <w:r>
        <w:rPr>
          <w:rFonts w:hint="eastAsia" w:ascii="仿宋_GB2312" w:hAnsi="仿宋_GB2312" w:eastAsia="仿宋_GB2312" w:cs="仿宋_GB2312"/>
          <w:snapToGrid w:val="0"/>
          <w:kern w:val="0"/>
          <w:sz w:val="32"/>
          <w:szCs w:val="32"/>
        </w:rPr>
        <w:t>2023年递交中原证券包装项目65个，拟申报金额131.43亿元；报送省厅评审项目53个，拟申报金额114.16亿元；过审入省财政厅储备库项目34个，申报金额73.61亿元。</w:t>
      </w:r>
      <w:r>
        <w:rPr>
          <w:rFonts w:hint="eastAsia" w:ascii="仿宋_GB2312" w:hAnsi="仿宋_GB2312" w:eastAsia="仿宋_GB2312" w:cs="仿宋_GB2312"/>
          <w:b/>
          <w:bCs/>
          <w:snapToGrid w:val="0"/>
          <w:kern w:val="0"/>
          <w:sz w:val="32"/>
          <w:szCs w:val="32"/>
        </w:rPr>
        <w:t>四是项目融资难题有效破解。</w:t>
      </w:r>
      <w:r>
        <w:rPr>
          <w:rFonts w:hint="eastAsia" w:ascii="仿宋_GB2312" w:hAnsi="仿宋_GB2312" w:eastAsia="仿宋_GB2312" w:cs="仿宋_GB2312"/>
          <w:snapToGrid w:val="0"/>
          <w:kern w:val="0"/>
          <w:sz w:val="32"/>
          <w:szCs w:val="32"/>
        </w:rPr>
        <w:t>积极拓展融资渠道，规范推进重大项目融资，2023年融资到位13.39亿元，为二院购建贷、保交楼、教培中心、度帮标准化厂房、厚坡高标准农田等重点项目建设提供了资金保障。</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2.预算管理更具成效。</w:t>
      </w:r>
      <w:r>
        <w:rPr>
          <w:rFonts w:hint="eastAsia" w:ascii="仿宋_GB2312" w:hAnsi="仿宋_GB2312" w:eastAsia="仿宋_GB2312" w:cs="仿宋_GB2312"/>
          <w:snapToGrid w:val="0"/>
          <w:kern w:val="0"/>
          <w:sz w:val="32"/>
          <w:szCs w:val="32"/>
        </w:rPr>
        <w:t>坚决把过紧日子思想贯穿财政工作始终，统筹安排各类资金，严把资金拨付关，保障重点工作需要。</w:t>
      </w:r>
      <w:r>
        <w:rPr>
          <w:rFonts w:hint="eastAsia" w:ascii="仿宋_GB2312" w:hAnsi="仿宋_GB2312" w:eastAsia="仿宋_GB2312" w:cs="仿宋_GB2312"/>
          <w:b/>
          <w:bCs/>
          <w:snapToGrid w:val="0"/>
          <w:kern w:val="0"/>
          <w:sz w:val="32"/>
          <w:szCs w:val="32"/>
        </w:rPr>
        <w:t>一是科学编制预算。</w:t>
      </w:r>
      <w:r>
        <w:rPr>
          <w:rFonts w:hint="eastAsia" w:ascii="仿宋_GB2312" w:hAnsi="仿宋_GB2312" w:eastAsia="仿宋_GB2312" w:cs="仿宋_GB2312"/>
          <w:snapToGrid w:val="0"/>
          <w:kern w:val="0"/>
          <w:sz w:val="32"/>
          <w:szCs w:val="32"/>
        </w:rPr>
        <w:t>按照“总量控制、保障重点、精准测算、厉行节约”原则，逐项审核预算事项，从严从紧核算“三公”经费，坚决避免财政资金跑冒漏滴。大力压缩一般性支出，精细高效编制全县2023年部门预算。</w:t>
      </w:r>
      <w:r>
        <w:rPr>
          <w:rFonts w:hint="eastAsia" w:ascii="仿宋_GB2312" w:hAnsi="仿宋_GB2312" w:eastAsia="仿宋_GB2312" w:cs="仿宋_GB2312"/>
          <w:b/>
          <w:bCs/>
          <w:snapToGrid w:val="0"/>
          <w:kern w:val="0"/>
          <w:sz w:val="32"/>
          <w:szCs w:val="32"/>
        </w:rPr>
        <w:t>二是硬化预算执行。</w:t>
      </w:r>
      <w:r>
        <w:rPr>
          <w:rFonts w:hint="eastAsia" w:ascii="仿宋_GB2312" w:hAnsi="仿宋_GB2312" w:eastAsia="仿宋_GB2312" w:cs="仿宋_GB2312"/>
          <w:snapToGrid w:val="0"/>
          <w:kern w:val="0"/>
          <w:sz w:val="32"/>
          <w:szCs w:val="32"/>
        </w:rPr>
        <w:t>严格遵守“先有预算、后有支出”原则，从严执行年初批复的预算。坚持预算均衡支出，分解到月、按月拨付，严禁扎堆拨付、超序时进度拨付。</w:t>
      </w:r>
      <w:r>
        <w:rPr>
          <w:rFonts w:hint="eastAsia" w:ascii="仿宋_GB2312" w:hAnsi="仿宋_GB2312" w:eastAsia="仿宋_GB2312" w:cs="仿宋_GB2312"/>
          <w:b/>
          <w:bCs/>
          <w:snapToGrid w:val="0"/>
          <w:kern w:val="0"/>
          <w:sz w:val="32"/>
          <w:szCs w:val="32"/>
        </w:rPr>
        <w:t>三是强化绩效管理。</w:t>
      </w:r>
      <w:r>
        <w:rPr>
          <w:rFonts w:hint="eastAsia" w:ascii="仿宋_GB2312" w:hAnsi="仿宋_GB2312" w:eastAsia="仿宋_GB2312" w:cs="仿宋_GB2312"/>
          <w:snapToGrid w:val="0"/>
          <w:kern w:val="0"/>
          <w:sz w:val="32"/>
          <w:szCs w:val="32"/>
        </w:rPr>
        <w:t>深入推进预算绩效管理，坚持关口前移，绩效目标实现全覆盖；组织开展部门整体和项目支出资金绩效“双监控”，涉及资金33.51亿元；建立健全重点绩效评价常态机制，邀请第三方对6个重点项目合计1.24亿元资金进行重点评价。</w:t>
      </w:r>
      <w:r>
        <w:rPr>
          <w:rFonts w:hint="eastAsia" w:ascii="仿宋_GB2312" w:hAnsi="仿宋_GB2312" w:eastAsia="仿宋_GB2312" w:cs="仿宋_GB2312"/>
          <w:b/>
          <w:bCs/>
          <w:snapToGrid w:val="0"/>
          <w:kern w:val="0"/>
          <w:sz w:val="32"/>
          <w:szCs w:val="32"/>
        </w:rPr>
        <w:t>四是提升投资评审效能。</w:t>
      </w:r>
      <w:r>
        <w:rPr>
          <w:rFonts w:hint="eastAsia" w:ascii="仿宋_GB2312" w:hAnsi="仿宋_GB2312" w:eastAsia="仿宋_GB2312" w:cs="仿宋_GB2312"/>
          <w:snapToGrid w:val="0"/>
          <w:kern w:val="0"/>
          <w:sz w:val="32"/>
          <w:szCs w:val="32"/>
        </w:rPr>
        <w:t>完成各类评审任务384个，报审金额50.9亿元，审定金额43.91亿元，审减金额6.99亿元，综合审减率13.73%，有效节约了财政资金。五是稳步推进询价采购。完成政府采购询价项目148个，资金总额4.13亿元，审定金额3.68亿元，节约资金4467万元，节约率10.8％。</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3.重点支出保障有力。</w:t>
      </w:r>
      <w:r>
        <w:rPr>
          <w:rFonts w:hint="eastAsia" w:ascii="仿宋_GB2312" w:hAnsi="仿宋_GB2312" w:eastAsia="仿宋_GB2312" w:cs="仿宋_GB2312"/>
          <w:snapToGrid w:val="0"/>
          <w:kern w:val="0"/>
          <w:sz w:val="32"/>
          <w:szCs w:val="32"/>
        </w:rPr>
        <w:t>兜牢“三保”底线，加强库款调度，按照轻重缓急科学安排支出。</w:t>
      </w:r>
      <w:r>
        <w:rPr>
          <w:rFonts w:hint="eastAsia" w:ascii="仿宋_GB2312" w:hAnsi="仿宋_GB2312" w:eastAsia="仿宋_GB2312" w:cs="仿宋_GB2312"/>
          <w:b/>
          <w:bCs/>
          <w:snapToGrid w:val="0"/>
          <w:kern w:val="0"/>
          <w:sz w:val="32"/>
          <w:szCs w:val="32"/>
        </w:rPr>
        <w:t>一是全面改善社保民生。</w:t>
      </w:r>
      <w:r>
        <w:rPr>
          <w:rFonts w:hint="eastAsia" w:ascii="仿宋_GB2312" w:hAnsi="仿宋_GB2312" w:eastAsia="仿宋_GB2312" w:cs="仿宋_GB2312"/>
          <w:snapToGrid w:val="0"/>
          <w:kern w:val="0"/>
          <w:sz w:val="32"/>
          <w:szCs w:val="32"/>
        </w:rPr>
        <w:t>安排资金22.21亿元，用于困难群众生活补助、残疾人两项补贴、退役军人安置和优抚，城乡居民医疗保障和医疗救助、基本药物制度改革、紧密型县域医共</w:t>
      </w:r>
      <w:bookmarkStart w:id="0" w:name="_GoBack"/>
      <w:bookmarkEnd w:id="0"/>
      <w:r>
        <w:rPr>
          <w:rFonts w:hint="eastAsia" w:ascii="仿宋_GB2312" w:hAnsi="仿宋_GB2312" w:eastAsia="仿宋_GB2312" w:cs="仿宋_GB2312"/>
          <w:snapToGrid w:val="0"/>
          <w:kern w:val="0"/>
          <w:sz w:val="32"/>
          <w:szCs w:val="32"/>
        </w:rPr>
        <w:t>体建设，聘任制教师和特岗教师工资及五险一金、家庭经济困难学生生活补助、乡村教师生活补助等。</w:t>
      </w:r>
      <w:r>
        <w:rPr>
          <w:rFonts w:hint="eastAsia" w:ascii="仿宋_GB2312" w:hAnsi="仿宋_GB2312" w:eastAsia="仿宋_GB2312" w:cs="仿宋_GB2312"/>
          <w:b/>
          <w:bCs/>
          <w:snapToGrid w:val="0"/>
          <w:kern w:val="0"/>
          <w:sz w:val="32"/>
          <w:szCs w:val="32"/>
        </w:rPr>
        <w:t>二是补齐基础设施短板。</w:t>
      </w:r>
      <w:r>
        <w:rPr>
          <w:rFonts w:hint="eastAsia" w:ascii="仿宋_GB2312" w:hAnsi="仿宋_GB2312" w:eastAsia="仿宋_GB2312" w:cs="仿宋_GB2312"/>
          <w:snapToGrid w:val="0"/>
          <w:kern w:val="0"/>
          <w:sz w:val="32"/>
          <w:szCs w:val="32"/>
        </w:rPr>
        <w:t>安排资金15.77亿元，用于南水北调实训基地、二高附中等南部水城建设，淅河治理、渑淅高速贾沟互通立交桥、S329、范蠡公园改造等城市提质项目，提升城市品味。</w:t>
      </w:r>
      <w:r>
        <w:rPr>
          <w:rFonts w:hint="eastAsia" w:ascii="仿宋_GB2312" w:hAnsi="仿宋_GB2312" w:eastAsia="仿宋_GB2312" w:cs="仿宋_GB2312"/>
          <w:b/>
          <w:bCs/>
          <w:snapToGrid w:val="0"/>
          <w:kern w:val="0"/>
          <w:sz w:val="32"/>
          <w:szCs w:val="32"/>
        </w:rPr>
        <w:t>三是助力乡村振兴。</w:t>
      </w:r>
      <w:r>
        <w:rPr>
          <w:rFonts w:hint="eastAsia" w:ascii="仿宋_GB2312" w:hAnsi="仿宋_GB2312" w:eastAsia="仿宋_GB2312" w:cs="仿宋_GB2312"/>
          <w:snapToGrid w:val="0"/>
          <w:kern w:val="0"/>
          <w:sz w:val="32"/>
          <w:szCs w:val="32"/>
        </w:rPr>
        <w:t>做好巩固拓展脱贫攻坚成果同乡村振兴的有效衔接，统筹整合财政涉农资金4.22亿元，发展壮大优势特色产业，带动脱贫人口持续增收。发放2023年耕地地力保护补贴8339万元，实际种粮农民一次性补贴745万元等，提高了农民种粮积极性。补助13万户家庭农场、农民合作社等新型农业经营主体，补贴面积70万亩，促进了农业升级、粮食增产和农民增收。</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4.国资管理显著增强。</w:t>
      </w:r>
      <w:r>
        <w:rPr>
          <w:rFonts w:hint="eastAsia" w:ascii="仿宋_GB2312" w:hAnsi="仿宋_GB2312" w:eastAsia="仿宋_GB2312" w:cs="仿宋_GB2312"/>
          <w:snapToGrid w:val="0"/>
          <w:kern w:val="0"/>
          <w:sz w:val="32"/>
          <w:szCs w:val="32"/>
        </w:rPr>
        <w:t>开展国有资产清查，积极盘活存量资产，壮大五大平台公司，增强融资平台实力，提升融资发债能力，推动国有资本保值增值。</w:t>
      </w:r>
      <w:r>
        <w:rPr>
          <w:rFonts w:hint="eastAsia" w:ascii="仿宋_GB2312" w:hAnsi="仿宋_GB2312" w:eastAsia="仿宋_GB2312" w:cs="仿宋_GB2312"/>
          <w:b/>
          <w:bCs/>
          <w:snapToGrid w:val="0"/>
          <w:kern w:val="0"/>
          <w:sz w:val="32"/>
          <w:szCs w:val="32"/>
        </w:rPr>
        <w:t>一是完善国企监管体系。</w:t>
      </w:r>
      <w:r>
        <w:rPr>
          <w:rFonts w:hint="eastAsia" w:ascii="仿宋_GB2312" w:hAnsi="仿宋_GB2312" w:eastAsia="仿宋_GB2312" w:cs="仿宋_GB2312"/>
          <w:snapToGrid w:val="0"/>
          <w:kern w:val="0"/>
          <w:sz w:val="32"/>
          <w:szCs w:val="32"/>
        </w:rPr>
        <w:t>履行国有资产出资人职责，出台了《淅川县县属国有企业经营业绩考核细则（试行）》《淅川县县属国有企业薪酬管理办法（试行）》《淅川县县属国有企业财务管理办法（试行）》《淅川县县属国有企业资金集中管理办法（试行）》等文件，逐步规范国有企业监管体系，提高国有企业管理水平和能力。</w:t>
      </w:r>
      <w:r>
        <w:rPr>
          <w:rFonts w:hint="eastAsia" w:ascii="仿宋_GB2312" w:hAnsi="仿宋_GB2312" w:eastAsia="仿宋_GB2312" w:cs="仿宋_GB2312"/>
          <w:b/>
          <w:bCs/>
          <w:snapToGrid w:val="0"/>
          <w:kern w:val="0"/>
          <w:sz w:val="32"/>
          <w:szCs w:val="32"/>
        </w:rPr>
        <w:t>二是全面开展“投转固”清查。</w:t>
      </w:r>
      <w:r>
        <w:rPr>
          <w:rFonts w:hint="eastAsia" w:ascii="仿宋_GB2312" w:hAnsi="仿宋_GB2312" w:eastAsia="仿宋_GB2312" w:cs="仿宋_GB2312"/>
          <w:snapToGrid w:val="0"/>
          <w:kern w:val="0"/>
          <w:sz w:val="32"/>
          <w:szCs w:val="32"/>
        </w:rPr>
        <w:t>2023年完成了“投转固”自查清查工作，加快办理项目手续，确保“投转固”工作按步骤、按程序推进，增加国有资产规模。</w:t>
      </w:r>
      <w:r>
        <w:rPr>
          <w:rFonts w:hint="eastAsia" w:ascii="仿宋_GB2312" w:hAnsi="仿宋_GB2312" w:eastAsia="仿宋_GB2312" w:cs="仿宋_GB2312"/>
          <w:b/>
          <w:bCs/>
          <w:snapToGrid w:val="0"/>
          <w:kern w:val="0"/>
          <w:sz w:val="32"/>
          <w:szCs w:val="32"/>
        </w:rPr>
        <w:t>三是支持五大平台公司整合。</w:t>
      </w:r>
      <w:r>
        <w:rPr>
          <w:rFonts w:hint="eastAsia" w:ascii="仿宋_GB2312" w:hAnsi="仿宋_GB2312" w:eastAsia="仿宋_GB2312" w:cs="仿宋_GB2312"/>
          <w:snapToGrid w:val="0"/>
          <w:kern w:val="0"/>
          <w:sz w:val="32"/>
          <w:szCs w:val="32"/>
        </w:rPr>
        <w:t>按照“边组建、边整合、边运营”工作思路，完成县属17家国有企业的清产核资、资产评估、资产整合等步骤，重组五大平台公司，划转资产181.63亿元，壮大平台公司实力。2023年实现融资13.22亿元。</w:t>
      </w:r>
      <w:r>
        <w:rPr>
          <w:rFonts w:hint="eastAsia" w:ascii="仿宋_GB2312" w:hAnsi="仿宋_GB2312" w:eastAsia="仿宋_GB2312" w:cs="仿宋_GB2312"/>
          <w:b/>
          <w:bCs/>
          <w:snapToGrid w:val="0"/>
          <w:kern w:val="0"/>
          <w:sz w:val="32"/>
          <w:szCs w:val="32"/>
        </w:rPr>
        <w:t>四是积极盘活存量资产。</w:t>
      </w:r>
      <w:r>
        <w:rPr>
          <w:rFonts w:hint="eastAsia" w:ascii="仿宋_GB2312" w:hAnsi="仿宋_GB2312" w:eastAsia="仿宋_GB2312" w:cs="仿宋_GB2312"/>
          <w:snapToGrid w:val="0"/>
          <w:kern w:val="0"/>
          <w:sz w:val="32"/>
          <w:szCs w:val="32"/>
        </w:rPr>
        <w:t>统筹管理国有资源、资产、资本、资金，充分发挥政府公物仓职能，累计调剂32项资产，有效节约资金100余万元。</w:t>
      </w:r>
      <w:r>
        <w:rPr>
          <w:rFonts w:hint="eastAsia" w:ascii="仿宋_GB2312" w:hAnsi="仿宋_GB2312" w:eastAsia="仿宋_GB2312" w:cs="仿宋_GB2312"/>
          <w:b/>
          <w:bCs/>
          <w:snapToGrid w:val="0"/>
          <w:kern w:val="0"/>
          <w:sz w:val="32"/>
          <w:szCs w:val="32"/>
        </w:rPr>
        <w:t>五是国资收益稳步增长。</w:t>
      </w:r>
      <w:r>
        <w:rPr>
          <w:rFonts w:hint="eastAsia" w:ascii="仿宋_GB2312" w:hAnsi="仿宋_GB2312" w:eastAsia="仿宋_GB2312" w:cs="仿宋_GB2312"/>
          <w:snapToGrid w:val="0"/>
          <w:kern w:val="0"/>
          <w:sz w:val="32"/>
          <w:szCs w:val="32"/>
        </w:rPr>
        <w:t>规范国有资产处置，实现处置收益2200万元。依规接收涉案罚没物，按程序获得罚没物处置收益243万元。</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5.产业发展焕新提质。一是精准服务助企前行。</w:t>
      </w:r>
      <w:r>
        <w:rPr>
          <w:rFonts w:hint="eastAsia" w:ascii="仿宋_GB2312" w:hAnsi="仿宋_GB2312" w:eastAsia="仿宋_GB2312" w:cs="仿宋_GB2312"/>
          <w:snapToGrid w:val="0"/>
          <w:kern w:val="0"/>
          <w:sz w:val="32"/>
          <w:szCs w:val="32"/>
        </w:rPr>
        <w:t>组织“万人助万企”活动走深走实，扎实开展“企业服务日”活动。鼓励企业满负荷生产，对55家企业奖励780万元。协助企业申报2023年省级制造业高质量发展专项资金1302万元。争取科技研发联合基金3000万元，支持汽车零部件产业研发创新和产业升级。持续落实组合式减税降费、中小微企业税费优惠等惠企政策，全年完成留抵退税1.1亿元。</w:t>
      </w:r>
      <w:r>
        <w:rPr>
          <w:rFonts w:hint="eastAsia" w:ascii="仿宋_GB2312" w:hAnsi="仿宋_GB2312" w:eastAsia="仿宋_GB2312" w:cs="仿宋_GB2312"/>
          <w:b/>
          <w:bCs/>
          <w:snapToGrid w:val="0"/>
          <w:kern w:val="0"/>
          <w:sz w:val="32"/>
          <w:szCs w:val="32"/>
        </w:rPr>
        <w:t>二是营造良好营商环境。</w:t>
      </w:r>
      <w:r>
        <w:rPr>
          <w:rFonts w:hint="eastAsia" w:ascii="仿宋_GB2312" w:hAnsi="仿宋_GB2312" w:eastAsia="仿宋_GB2312" w:cs="仿宋_GB2312"/>
          <w:snapToGrid w:val="0"/>
          <w:kern w:val="0"/>
          <w:sz w:val="32"/>
          <w:szCs w:val="32"/>
        </w:rPr>
        <w:t>完成政府采购不见面开标交易项目215个，远程异地评标交易项目174个。持续优化交易流程，压缩交易时限，不断提升政府采购效率。上线信用评价管理系统，实现采购主体互相监督，以评促改，共同打造诚实守信的营商环境。</w:t>
      </w:r>
      <w:r>
        <w:rPr>
          <w:rFonts w:hint="eastAsia" w:ascii="仿宋_GB2312" w:hAnsi="仿宋_GB2312" w:eastAsia="仿宋_GB2312" w:cs="仿宋_GB2312"/>
          <w:b/>
          <w:bCs/>
          <w:snapToGrid w:val="0"/>
          <w:kern w:val="0"/>
          <w:sz w:val="32"/>
          <w:szCs w:val="32"/>
        </w:rPr>
        <w:t>三是优化企业金融生态。</w:t>
      </w:r>
      <w:r>
        <w:rPr>
          <w:rFonts w:hint="eastAsia" w:ascii="仿宋_GB2312" w:hAnsi="仿宋_GB2312" w:eastAsia="仿宋_GB2312" w:cs="仿宋_GB2312"/>
          <w:snapToGrid w:val="0"/>
          <w:kern w:val="0"/>
          <w:sz w:val="32"/>
          <w:szCs w:val="32"/>
        </w:rPr>
        <w:t>开展中原银行不良资产化解处置，对79家县域企业在中原银行形成的不良资产，通过政策宣传、建立台账、制定“一企一策”化解方案、特殊问题“一事一议”等方式，完成阶段性清收目标，为优化县域企业金融生态作出积极贡献。</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6.财政监管亮点纷呈。</w:t>
      </w:r>
      <w:r>
        <w:rPr>
          <w:rFonts w:hint="eastAsia" w:ascii="仿宋_GB2312" w:hAnsi="仿宋_GB2312" w:eastAsia="仿宋_GB2312" w:cs="仿宋_GB2312"/>
          <w:snapToGrid w:val="0"/>
          <w:kern w:val="0"/>
          <w:sz w:val="32"/>
          <w:szCs w:val="32"/>
        </w:rPr>
        <w:t>严格落实国省《关于进一步加强财会监督工作的意见》和实施方案，聚焦重大决策部署贯彻落实、强化财经纪律刚性约束、严厉打击财务会计违法违规行为，开展财会监督和专项整治，提高了预算单位财务管理水平。</w:t>
      </w:r>
      <w:r>
        <w:rPr>
          <w:rFonts w:hint="eastAsia" w:ascii="仿宋_GB2312" w:hAnsi="仿宋_GB2312" w:eastAsia="仿宋_GB2312" w:cs="仿宋_GB2312"/>
          <w:b/>
          <w:bCs/>
          <w:snapToGrid w:val="0"/>
          <w:kern w:val="0"/>
          <w:sz w:val="32"/>
          <w:szCs w:val="32"/>
        </w:rPr>
        <w:t>一是扎实开展预决算公开检查。</w:t>
      </w:r>
      <w:r>
        <w:rPr>
          <w:rFonts w:hint="eastAsia" w:ascii="仿宋_GB2312" w:hAnsi="仿宋_GB2312" w:eastAsia="仿宋_GB2312" w:cs="仿宋_GB2312"/>
          <w:snapToGrid w:val="0"/>
          <w:kern w:val="0"/>
          <w:sz w:val="32"/>
          <w:szCs w:val="32"/>
        </w:rPr>
        <w:t>对全县227家部门和单位开展预决算公开事项检查，采用自查自纠和财政监督专项检查相结合方式，对发现的问题及时督促整改，全面提高了全县预决算公开质量。</w:t>
      </w:r>
      <w:r>
        <w:rPr>
          <w:rFonts w:hint="eastAsia" w:ascii="仿宋_GB2312" w:hAnsi="仿宋_GB2312" w:eastAsia="仿宋_GB2312" w:cs="仿宋_GB2312"/>
          <w:b/>
          <w:bCs/>
          <w:snapToGrid w:val="0"/>
          <w:kern w:val="0"/>
          <w:sz w:val="32"/>
          <w:szCs w:val="32"/>
        </w:rPr>
        <w:t>二是组织开展财会专项整治。</w:t>
      </w:r>
      <w:r>
        <w:rPr>
          <w:rFonts w:hint="eastAsia" w:ascii="仿宋_GB2312" w:hAnsi="仿宋_GB2312" w:eastAsia="仿宋_GB2312" w:cs="仿宋_GB2312"/>
          <w:snapToGrid w:val="0"/>
          <w:kern w:val="0"/>
          <w:sz w:val="32"/>
          <w:szCs w:val="32"/>
        </w:rPr>
        <w:t>联合县税务局、县市场监管局开展全县代理记账行业违法违规行为专项整治，提升代理记账企业合法合规经营能力，促进代理记账行业规范健康发展。积极支持县“两清两建”活动，澄清农村集体经济组织“三资”家底，规范农村集体经济管理。</w:t>
      </w:r>
      <w:r>
        <w:rPr>
          <w:rFonts w:hint="eastAsia" w:ascii="仿宋_GB2312" w:hAnsi="仿宋_GB2312" w:eastAsia="仿宋_GB2312" w:cs="仿宋_GB2312"/>
          <w:b/>
          <w:bCs/>
          <w:snapToGrid w:val="0"/>
          <w:kern w:val="0"/>
          <w:sz w:val="32"/>
          <w:szCs w:val="32"/>
        </w:rPr>
        <w:t>三是加强惠民惠农财政补贴资金“一卡通”管理。</w:t>
      </w:r>
      <w:r>
        <w:rPr>
          <w:rFonts w:hint="eastAsia" w:ascii="仿宋_GB2312" w:hAnsi="仿宋_GB2312" w:eastAsia="仿宋_GB2312" w:cs="仿宋_GB2312"/>
          <w:snapToGrid w:val="0"/>
          <w:kern w:val="0"/>
          <w:sz w:val="32"/>
          <w:szCs w:val="32"/>
        </w:rPr>
        <w:t>全年发放“一卡通”民生补贴项目52个，拨付补贴资金5.89亿元，惠及群众25.62万人，实现社保卡精准发放率100%，发放成功率99.57%，确保各项惠民惠农政策落地见效，增强人民群众的获得感、幸福感。</w:t>
      </w:r>
      <w:r>
        <w:rPr>
          <w:rFonts w:hint="eastAsia" w:ascii="仿宋_GB2312" w:hAnsi="仿宋_GB2312" w:eastAsia="仿宋_GB2312" w:cs="仿宋_GB2312"/>
          <w:b/>
          <w:bCs/>
          <w:snapToGrid w:val="0"/>
          <w:kern w:val="0"/>
          <w:sz w:val="32"/>
          <w:szCs w:val="32"/>
        </w:rPr>
        <w:t>四是主动接受县人大监督。</w:t>
      </w:r>
      <w:r>
        <w:rPr>
          <w:rFonts w:hint="eastAsia" w:ascii="仿宋_GB2312" w:hAnsi="仿宋_GB2312" w:eastAsia="仿宋_GB2312" w:cs="仿宋_GB2312"/>
          <w:snapToGrid w:val="0"/>
          <w:kern w:val="0"/>
          <w:sz w:val="32"/>
          <w:szCs w:val="32"/>
        </w:rPr>
        <w:t>认真贯彻落实《预算法》《河南省预算审查监督条例》《人大监督法》等法律法规，按时向县人大报告预算执行、预算调整等重点工作情况。协助人大预算联网监督系统建设，主动接受县人大对预算管理执行的监督。扎实做好部门预决算公开，认真整改县人大审议意见和审计建议，不断提高依法理财、科学理财能力。</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总体来看，2023年全县财政预算执行情况较好，收入实现平稳增长，重点支出得到有效保障，财政预算收支总体实现平衡。同时，我们也清醒地认识到，当前财政运行和预算管理工作还面临一些问题和挑战，主要是：收入质量有所下降，刚性支出不断增多，土地出让收入不及预期，收支矛盾更加突出；财会监督有待加强，财经纪律约束需要巩固，预算绩效管理结果运用不够，财政政策效能和资金效益仍需提高；部门过紧日子的思想还没有树牢，大手大脚、铺张浪费现象依然存在，过紧日子的配套措施需要完善；国资监管专业能力还不能完全适应新时代新要求等。我们高度重视这些问题，正积极采取有效措施予以解决。</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二、2024年预算草案情况</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2024年是新中国成立75周年，是实现“十四五”规划目标任务的重要一年，更是县委“双九战略”巩固提升的关键之年，科学研判财政收支形势，合理编制财政预算，对于推动积极的财政政策落实落地，促进全县经济健康平稳运行具有十分重要的意义。</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（一）2024年预算编制指导思想</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以习近平新时代中国特色社会主义思想为指导，全面贯彻县委十三届六次全会暨经济工作会议精神，紧紧围绕县委确定目标任务，积极的财政政策适度加力、提质增效；坚持“紧日子保基本、调结构保战略”，加强财政资源统筹，大力优化支出结构，兜紧兜牢“三保”底线；聚焦重点领域和关键环节，集中财力办大事，切实增强经济活力，提升财政资金使用绩效；强化财会监督，严肃财经纪律，防范化解风险，改善社会预期，增加民生福祉，保持社会稳定，为奋力谱写新时代淅川高质量高效率跨越发展作出财政新的更大贡献！</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（二）2024年财政预算安排</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1.一般公共预算收支安排</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结合2024年全县生产总值、固定资产投资等经济社会发展主要预期，按照比上年增长8%的目标，2024年一般公共预算收入安排179800万元。其中：税收收入安排116800万元，税收占比65%；非税收入安排63000万元。2024年一般公共预算本级收入加已下达的上级转移支付资金，减去上解支出和债务还本后，2024年一般公共预算总收入375718万元。2024年一般公共预算支出安排375718万元。</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2.政府性基金预算收支安排</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2024年政府性基金预算收入安排80000万元，加已下达的上级转移支付资金5379万元后，2024年政府性基金预算总收入85379万元。2024年政府性基金支出安排85379万元，政府性基金收支平衡。</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3.国有资本经营预算收支安排</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2024年国有资本经营预算收入安排1603万元，支出安排1603万元。</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4.社会保险基金预算收支安排</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2024年社会保险基金预算收入安排106576万元，支出安排92341万元。</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三、2024年财政工作重点</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2024年，紧紧围绕县委重点工作部署，提高政治站位，锚定“双九战略”，把握好“稳”与“进”的辩证关系，以更高标准、更严要求、更实作风做好财政各项工作，巩固和增强稳中向好态势，为全县经济社会高质量发展当好参谋助手。</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（一）打好“组织收入”主动战，全面加强地方财源建设。</w:t>
      </w:r>
      <w:r>
        <w:rPr>
          <w:rFonts w:hint="eastAsia" w:ascii="仿宋_GB2312" w:hAnsi="仿宋_GB2312" w:eastAsia="仿宋_GB2312" w:cs="仿宋_GB2312"/>
          <w:snapToGrid w:val="0"/>
          <w:kern w:val="0"/>
          <w:sz w:val="32"/>
          <w:szCs w:val="32"/>
        </w:rPr>
        <w:t>坚持超前谋划，狠抓政策机遇，重点抓实“收、争、融、售、招”，尽力做大财源蛋糕，提升财政保障能力。</w:t>
      </w:r>
      <w:r>
        <w:rPr>
          <w:rFonts w:hint="eastAsia" w:ascii="仿宋_GB2312" w:hAnsi="仿宋_GB2312" w:eastAsia="仿宋_GB2312" w:cs="仿宋_GB2312"/>
          <w:b/>
          <w:bCs/>
          <w:snapToGrid w:val="0"/>
          <w:kern w:val="0"/>
          <w:sz w:val="32"/>
          <w:szCs w:val="32"/>
        </w:rPr>
        <w:t>一是“收”。</w:t>
      </w:r>
      <w:r>
        <w:rPr>
          <w:rFonts w:hint="eastAsia" w:ascii="仿宋_GB2312" w:hAnsi="仿宋_GB2312" w:eastAsia="仿宋_GB2312" w:cs="仿宋_GB2312"/>
          <w:snapToGrid w:val="0"/>
          <w:kern w:val="0"/>
          <w:sz w:val="32"/>
          <w:szCs w:val="32"/>
        </w:rPr>
        <w:t>协同税务等部门共发力，强化综合治税，重抓跟踪落实，做到税源“周分析、月排查”，实现各项税收应收尽收，不断提高财政收入质量。</w:t>
      </w:r>
      <w:r>
        <w:rPr>
          <w:rFonts w:hint="eastAsia" w:ascii="仿宋_GB2312" w:hAnsi="仿宋_GB2312" w:eastAsia="仿宋_GB2312" w:cs="仿宋_GB2312"/>
          <w:b/>
          <w:bCs/>
          <w:snapToGrid w:val="0"/>
          <w:kern w:val="0"/>
          <w:sz w:val="32"/>
          <w:szCs w:val="32"/>
        </w:rPr>
        <w:t>二是“争”。</w:t>
      </w:r>
      <w:r>
        <w:rPr>
          <w:rFonts w:hint="eastAsia" w:ascii="仿宋_GB2312" w:hAnsi="仿宋_GB2312" w:eastAsia="仿宋_GB2312" w:cs="仿宋_GB2312"/>
          <w:snapToGrid w:val="0"/>
          <w:kern w:val="0"/>
          <w:sz w:val="32"/>
          <w:szCs w:val="32"/>
        </w:rPr>
        <w:t>精准把握新一轮国家增发国债等政策机遇，充分借助总书记亲临视察县、南水北调中线工程渠首所在地和核心水源区等优势，主动跑省进京对接，超前谋划项目，做实项目储备，争取更多项目入库、更多专项债额度，实现转移支付规模稳中有增。</w:t>
      </w:r>
      <w:r>
        <w:rPr>
          <w:rFonts w:hint="eastAsia" w:ascii="仿宋_GB2312" w:hAnsi="仿宋_GB2312" w:eastAsia="仿宋_GB2312" w:cs="仿宋_GB2312"/>
          <w:b/>
          <w:bCs/>
          <w:snapToGrid w:val="0"/>
          <w:kern w:val="0"/>
          <w:sz w:val="32"/>
          <w:szCs w:val="32"/>
        </w:rPr>
        <w:t>三是“融”。</w:t>
      </w:r>
      <w:r>
        <w:rPr>
          <w:rFonts w:hint="eastAsia" w:ascii="仿宋_GB2312" w:hAnsi="仿宋_GB2312" w:eastAsia="仿宋_GB2312" w:cs="仿宋_GB2312"/>
          <w:snapToGrid w:val="0"/>
          <w:kern w:val="0"/>
          <w:sz w:val="32"/>
          <w:szCs w:val="32"/>
        </w:rPr>
        <w:t>按照重大项目融资工作安排，协同五大平台公司，引导金融机构支持重点项目，用好“金融活水”，保障重大项目融资需求。</w:t>
      </w:r>
      <w:r>
        <w:rPr>
          <w:rFonts w:hint="eastAsia" w:ascii="仿宋_GB2312" w:hAnsi="仿宋_GB2312" w:eastAsia="仿宋_GB2312" w:cs="仿宋_GB2312"/>
          <w:b/>
          <w:bCs/>
          <w:snapToGrid w:val="0"/>
          <w:kern w:val="0"/>
          <w:sz w:val="32"/>
          <w:szCs w:val="32"/>
        </w:rPr>
        <w:t>四是“售”。</w:t>
      </w:r>
      <w:r>
        <w:rPr>
          <w:rFonts w:hint="eastAsia" w:ascii="仿宋_GB2312" w:hAnsi="仿宋_GB2312" w:eastAsia="仿宋_GB2312" w:cs="仿宋_GB2312"/>
          <w:snapToGrid w:val="0"/>
          <w:kern w:val="0"/>
          <w:sz w:val="32"/>
          <w:szCs w:val="32"/>
        </w:rPr>
        <w:t>澄清固定资产、经管资产、自然资源等国有资产底子，强化监督管理，依法依规做好资产收益收缴、废石矿渣处置、罚没物拍卖、土地出让等，实现国有资产效益最大化。</w:t>
      </w:r>
      <w:r>
        <w:rPr>
          <w:rFonts w:hint="eastAsia" w:ascii="仿宋_GB2312" w:hAnsi="仿宋_GB2312" w:eastAsia="仿宋_GB2312" w:cs="仿宋_GB2312"/>
          <w:b/>
          <w:bCs/>
          <w:snapToGrid w:val="0"/>
          <w:kern w:val="0"/>
          <w:sz w:val="32"/>
          <w:szCs w:val="32"/>
        </w:rPr>
        <w:t>五是“招”。</w:t>
      </w:r>
      <w:r>
        <w:rPr>
          <w:rFonts w:hint="eastAsia" w:ascii="仿宋_GB2312" w:hAnsi="仿宋_GB2312" w:eastAsia="仿宋_GB2312" w:cs="仿宋_GB2312"/>
          <w:snapToGrid w:val="0"/>
          <w:kern w:val="0"/>
          <w:sz w:val="32"/>
          <w:szCs w:val="32"/>
        </w:rPr>
        <w:t>支持实施“全员招商、招大引强”战略，坚持全过程协同推进，做好全方位要素保障，推动项目早签约、快落实，早开工、快建设，早建成、快达效，实现2024年招商引资的大突围。</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（二）打好“综合保障”巩固战，做好民生领域资金保障。</w:t>
      </w:r>
      <w:r>
        <w:rPr>
          <w:rFonts w:hint="eastAsia" w:ascii="仿宋_GB2312" w:hAnsi="仿宋_GB2312" w:eastAsia="仿宋_GB2312" w:cs="仿宋_GB2312"/>
          <w:snapToGrid w:val="0"/>
          <w:kern w:val="0"/>
          <w:sz w:val="32"/>
          <w:szCs w:val="32"/>
        </w:rPr>
        <w:t>坚持尽力而为、量力而行，持续保障和改善民生，不断增强人民群众获得感、幸福感、安全感。</w:t>
      </w:r>
      <w:r>
        <w:rPr>
          <w:rFonts w:hint="eastAsia" w:ascii="仿宋_GB2312" w:hAnsi="仿宋_GB2312" w:eastAsia="仿宋_GB2312" w:cs="仿宋_GB2312"/>
          <w:b/>
          <w:bCs/>
          <w:snapToGrid w:val="0"/>
          <w:kern w:val="0"/>
          <w:sz w:val="32"/>
          <w:szCs w:val="32"/>
        </w:rPr>
        <w:t>一是加快教育事业发展。</w:t>
      </w:r>
      <w:r>
        <w:rPr>
          <w:rFonts w:hint="eastAsia" w:ascii="仿宋_GB2312" w:hAnsi="仿宋_GB2312" w:eastAsia="仿宋_GB2312" w:cs="仿宋_GB2312"/>
          <w:snapToGrid w:val="0"/>
          <w:kern w:val="0"/>
          <w:sz w:val="32"/>
          <w:szCs w:val="32"/>
        </w:rPr>
        <w:t>加大财政投入力度，支持推进集团化办学改革、“两集中”改革，助力“小学进镇区、初中进城区”目标任务，促进教育优质均衡发展。支持南水北调教育实训基地、南阳农业职业学院淅川产业学院、南水北调精神培训中心等项目建设，推动教育高端化发展，实现教育和经济发展“双赢”。</w:t>
      </w:r>
      <w:r>
        <w:rPr>
          <w:rFonts w:hint="eastAsia" w:ascii="仿宋_GB2312" w:hAnsi="仿宋_GB2312" w:eastAsia="仿宋_GB2312" w:cs="仿宋_GB2312"/>
          <w:b/>
          <w:bCs/>
          <w:snapToGrid w:val="0"/>
          <w:kern w:val="0"/>
          <w:sz w:val="32"/>
          <w:szCs w:val="32"/>
        </w:rPr>
        <w:t>二是提升社会保障水平。</w:t>
      </w:r>
      <w:r>
        <w:rPr>
          <w:rFonts w:hint="eastAsia" w:ascii="仿宋_GB2312" w:hAnsi="仿宋_GB2312" w:eastAsia="仿宋_GB2312" w:cs="仿宋_GB2312"/>
          <w:snapToGrid w:val="0"/>
          <w:kern w:val="0"/>
          <w:sz w:val="32"/>
          <w:szCs w:val="32"/>
        </w:rPr>
        <w:t>支持县域医共体改革，促进城乡优质医疗资源均衡。落实妇幼“两癌两筛”等惠民措施，支持困难群众大病补充医疗保险和“政福保、政康保”工程，让人民群众享受更好的医疗服务。全面落实城乡五保、低保等保障政策，加强特困群体临时救助，兜准兜牢民生底线。</w:t>
      </w:r>
      <w:r>
        <w:rPr>
          <w:rFonts w:hint="eastAsia" w:ascii="仿宋_GB2312" w:hAnsi="仿宋_GB2312" w:eastAsia="仿宋_GB2312" w:cs="仿宋_GB2312"/>
          <w:b/>
          <w:bCs/>
          <w:snapToGrid w:val="0"/>
          <w:kern w:val="0"/>
          <w:sz w:val="32"/>
          <w:szCs w:val="32"/>
        </w:rPr>
        <w:t>三是支持乡村全面振兴。</w:t>
      </w:r>
      <w:r>
        <w:rPr>
          <w:rFonts w:hint="eastAsia" w:ascii="仿宋_GB2312" w:hAnsi="仿宋_GB2312" w:eastAsia="仿宋_GB2312" w:cs="仿宋_GB2312"/>
          <w:snapToGrid w:val="0"/>
          <w:kern w:val="0"/>
          <w:sz w:val="32"/>
          <w:szCs w:val="32"/>
        </w:rPr>
        <w:t>全面推进乡村振兴，为加快建设农业强省、全方位夯实粮食安全根基做好保障。严格落实过渡期内“四个不摘”要求，建立衔接资金统筹整合长效机制，不断提升资金整合效益，支持乡村特色产业发展壮大，支持现代循环农业产业园、生态保水渔业、九重镇全域土地综合整治农业示范项目建设，吸引群众就地就近就业，促进脱贫人口稳步增收。</w:t>
      </w:r>
      <w:r>
        <w:rPr>
          <w:rFonts w:hint="eastAsia" w:ascii="仿宋_GB2312" w:hAnsi="仿宋_GB2312" w:eastAsia="仿宋_GB2312" w:cs="仿宋_GB2312"/>
          <w:b/>
          <w:bCs/>
          <w:snapToGrid w:val="0"/>
          <w:kern w:val="0"/>
          <w:sz w:val="32"/>
          <w:szCs w:val="32"/>
        </w:rPr>
        <w:t>四是推进美丽乡村建设。</w:t>
      </w:r>
      <w:r>
        <w:rPr>
          <w:rFonts w:hint="eastAsia" w:ascii="仿宋_GB2312" w:hAnsi="仿宋_GB2312" w:eastAsia="仿宋_GB2312" w:cs="仿宋_GB2312"/>
          <w:snapToGrid w:val="0"/>
          <w:kern w:val="0"/>
          <w:sz w:val="32"/>
          <w:szCs w:val="32"/>
        </w:rPr>
        <w:t>加大89个中心村资金倾斜力度，支持“十村精品、百村示范”创建，完善农村基础设施，提升农村人居环境，提高农民幸福指数。</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（三）打好“开源节流”攻坚战，助力城市品质稳步提升。</w:t>
      </w:r>
      <w:r>
        <w:rPr>
          <w:rFonts w:hint="eastAsia" w:ascii="仿宋_GB2312" w:hAnsi="仿宋_GB2312" w:eastAsia="仿宋_GB2312" w:cs="仿宋_GB2312"/>
          <w:snapToGrid w:val="0"/>
          <w:kern w:val="0"/>
          <w:sz w:val="32"/>
          <w:szCs w:val="32"/>
        </w:rPr>
        <w:t>围绕“双九战略”布局，在兜牢“三保”底线的基础上，全力做好城市更新、文旅文创、生态环境等重点领域项目资金保障。</w:t>
      </w:r>
      <w:r>
        <w:rPr>
          <w:rFonts w:hint="eastAsia" w:ascii="仿宋_GB2312" w:hAnsi="仿宋_GB2312" w:eastAsia="仿宋_GB2312" w:cs="仿宋_GB2312"/>
          <w:b/>
          <w:bCs/>
          <w:snapToGrid w:val="0"/>
          <w:kern w:val="0"/>
          <w:sz w:val="32"/>
          <w:szCs w:val="32"/>
        </w:rPr>
        <w:t>一是支持城市提质更新。</w:t>
      </w:r>
      <w:r>
        <w:rPr>
          <w:rFonts w:hint="eastAsia" w:ascii="仿宋_GB2312" w:hAnsi="仿宋_GB2312" w:eastAsia="仿宋_GB2312" w:cs="仿宋_GB2312"/>
          <w:snapToGrid w:val="0"/>
          <w:kern w:val="0"/>
          <w:sz w:val="32"/>
          <w:szCs w:val="32"/>
        </w:rPr>
        <w:t>全力保障南部水城“三路一园、四大项目”、渠首小镇“三路一中心”、万德隆淅川万悦城项目、范蠡公园提质升级、南区湿地公园一期和移民文化体验中心等重点项目资金需求，不断提升城市综合承载力和宜居度。</w:t>
      </w:r>
      <w:r>
        <w:rPr>
          <w:rFonts w:hint="eastAsia" w:ascii="仿宋_GB2312" w:hAnsi="仿宋_GB2312" w:eastAsia="仿宋_GB2312" w:cs="仿宋_GB2312"/>
          <w:b/>
          <w:bCs/>
          <w:snapToGrid w:val="0"/>
          <w:kern w:val="0"/>
          <w:sz w:val="32"/>
          <w:szCs w:val="32"/>
        </w:rPr>
        <w:t>二是支持文旅文创融合提质。</w:t>
      </w:r>
      <w:r>
        <w:rPr>
          <w:rFonts w:hint="eastAsia" w:ascii="仿宋_GB2312" w:hAnsi="仿宋_GB2312" w:eastAsia="仿宋_GB2312" w:cs="仿宋_GB2312"/>
          <w:snapToGrid w:val="0"/>
          <w:kern w:val="0"/>
          <w:sz w:val="32"/>
          <w:szCs w:val="32"/>
        </w:rPr>
        <w:t>支持大观苑升5A、坐禅谷和大邹庄升4A、丹阳岛建设、汤山公园提升、大石桥湿地小镇和荆紫关古镇开发等项目，推动我县景区旅游出彩出圈。支持官福山居、那水乡、龙泉湾等网红民宿改造提升。支持南水北调生态文明艺术节、南水北调中线通水十周年、第二届范蠡文化节、河南省第二十四届“黄河诗会”等活动，扩大淅川名气、吸引人气、带动商气。</w:t>
      </w:r>
      <w:r>
        <w:rPr>
          <w:rFonts w:hint="eastAsia" w:ascii="仿宋_GB2312" w:hAnsi="仿宋_GB2312" w:eastAsia="仿宋_GB2312" w:cs="仿宋_GB2312"/>
          <w:b/>
          <w:bCs/>
          <w:snapToGrid w:val="0"/>
          <w:kern w:val="0"/>
          <w:sz w:val="32"/>
          <w:szCs w:val="32"/>
        </w:rPr>
        <w:t>三是支持生态环保建设。</w:t>
      </w:r>
      <w:r>
        <w:rPr>
          <w:rFonts w:hint="eastAsia" w:ascii="仿宋_GB2312" w:hAnsi="仿宋_GB2312" w:eastAsia="仿宋_GB2312" w:cs="仿宋_GB2312"/>
          <w:snapToGrid w:val="0"/>
          <w:kern w:val="0"/>
          <w:sz w:val="32"/>
          <w:szCs w:val="32"/>
        </w:rPr>
        <w:t>支持造林绿化、湿地修复、石漠化治理、矿山生态修复、入河排污口治理等南水北调水源地保护和沿线生态带建设，确保“一泓清水永续北送”。支持在库区消落地等区域探索开发绿电产业，实现水质保护与经济社会发展良性互动。</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（四）打好“力促发展”助力战，推动县域经济持续向好。</w:t>
      </w:r>
      <w:r>
        <w:rPr>
          <w:rFonts w:hint="eastAsia" w:ascii="仿宋_GB2312" w:hAnsi="仿宋_GB2312" w:eastAsia="仿宋_GB2312" w:cs="仿宋_GB2312"/>
          <w:snapToGrid w:val="0"/>
          <w:kern w:val="0"/>
          <w:sz w:val="32"/>
          <w:szCs w:val="32"/>
        </w:rPr>
        <w:t>发挥财政资金引领带动作用，支持构建现代产业体系。</w:t>
      </w:r>
      <w:r>
        <w:rPr>
          <w:rFonts w:hint="eastAsia" w:ascii="仿宋_GB2312" w:hAnsi="仿宋_GB2312" w:eastAsia="仿宋_GB2312" w:cs="仿宋_GB2312"/>
          <w:b/>
          <w:bCs/>
          <w:snapToGrid w:val="0"/>
          <w:kern w:val="0"/>
          <w:sz w:val="32"/>
          <w:szCs w:val="32"/>
        </w:rPr>
        <w:t>一是推动制造业转型升级。</w:t>
      </w:r>
      <w:r>
        <w:rPr>
          <w:rFonts w:hint="eastAsia" w:ascii="仿宋_GB2312" w:hAnsi="仿宋_GB2312" w:eastAsia="仿宋_GB2312" w:cs="仿宋_GB2312"/>
          <w:snapToGrid w:val="0"/>
          <w:kern w:val="0"/>
          <w:sz w:val="32"/>
          <w:szCs w:val="32"/>
        </w:rPr>
        <w:t>围绕“产业强县”目标，支持培育壮大“四大产业集群”、“五大产业园”建设，提升企业竞争力，打造优质企业雁阵。</w:t>
      </w:r>
      <w:r>
        <w:rPr>
          <w:rFonts w:hint="eastAsia" w:ascii="仿宋_GB2312" w:hAnsi="仿宋_GB2312" w:eastAsia="仿宋_GB2312" w:cs="仿宋_GB2312"/>
          <w:b/>
          <w:bCs/>
          <w:snapToGrid w:val="0"/>
          <w:kern w:val="0"/>
          <w:sz w:val="32"/>
          <w:szCs w:val="32"/>
        </w:rPr>
        <w:t>二是支持企业创新发展。</w:t>
      </w:r>
      <w:r>
        <w:rPr>
          <w:rFonts w:hint="eastAsia" w:ascii="仿宋_GB2312" w:hAnsi="仿宋_GB2312" w:eastAsia="仿宋_GB2312" w:cs="仿宋_GB2312"/>
          <w:snapToGrid w:val="0"/>
          <w:kern w:val="0"/>
          <w:sz w:val="32"/>
          <w:szCs w:val="32"/>
        </w:rPr>
        <w:t>壮大创新主体，综合运用贴息、奖补、政府投资基金等方式，引导企业加大科技创新投入力度，激发企业在科技创新中发挥主体作用，带动全县经济高质量发展。</w:t>
      </w:r>
      <w:r>
        <w:rPr>
          <w:rFonts w:hint="eastAsia" w:ascii="仿宋_GB2312" w:hAnsi="仿宋_GB2312" w:eastAsia="仿宋_GB2312" w:cs="仿宋_GB2312"/>
          <w:b/>
          <w:bCs/>
          <w:snapToGrid w:val="0"/>
          <w:kern w:val="0"/>
          <w:sz w:val="32"/>
          <w:szCs w:val="32"/>
        </w:rPr>
        <w:t>三是积极落实惠企政策。</w:t>
      </w:r>
      <w:r>
        <w:rPr>
          <w:rFonts w:hint="eastAsia" w:ascii="仿宋_GB2312" w:hAnsi="仿宋_GB2312" w:eastAsia="仿宋_GB2312" w:cs="仿宋_GB2312"/>
          <w:snapToGrid w:val="0"/>
          <w:kern w:val="0"/>
          <w:sz w:val="32"/>
          <w:szCs w:val="32"/>
        </w:rPr>
        <w:t>持续落实各项减税降费措施，精准兑现企业扶持政策，深入推进“免申即享”，扎实开展“万人助万企”活动，着力纾解企业困难。</w:t>
      </w:r>
      <w:r>
        <w:rPr>
          <w:rFonts w:hint="eastAsia" w:ascii="仿宋_GB2312" w:hAnsi="仿宋_GB2312" w:eastAsia="仿宋_GB2312" w:cs="仿宋_GB2312"/>
          <w:b/>
          <w:bCs/>
          <w:snapToGrid w:val="0"/>
          <w:kern w:val="0"/>
          <w:sz w:val="32"/>
          <w:szCs w:val="32"/>
        </w:rPr>
        <w:t>四是助力打造优良金融生态。</w:t>
      </w:r>
      <w:r>
        <w:rPr>
          <w:rFonts w:hint="eastAsia" w:ascii="仿宋_GB2312" w:hAnsi="仿宋_GB2312" w:eastAsia="仿宋_GB2312" w:cs="仿宋_GB2312"/>
          <w:snapToGrid w:val="0"/>
          <w:kern w:val="0"/>
          <w:sz w:val="32"/>
          <w:szCs w:val="32"/>
        </w:rPr>
        <w:t>持续做好中原银行不良资产集中处置工作，净化县域金融生态环境，帮助企业打破“互保圈”，助力企业重获银行授信，有效破解企业融资难、融资贵等难题。</w:t>
      </w:r>
      <w:r>
        <w:rPr>
          <w:rFonts w:hint="eastAsia" w:ascii="仿宋_GB2312" w:hAnsi="仿宋_GB2312" w:eastAsia="仿宋_GB2312" w:cs="仿宋_GB2312"/>
          <w:b/>
          <w:bCs/>
          <w:snapToGrid w:val="0"/>
          <w:kern w:val="0"/>
          <w:sz w:val="32"/>
          <w:szCs w:val="32"/>
        </w:rPr>
        <w:t>五是用好融资担保工具。</w:t>
      </w:r>
      <w:r>
        <w:rPr>
          <w:rFonts w:hint="eastAsia" w:ascii="仿宋_GB2312" w:hAnsi="仿宋_GB2312" w:eastAsia="仿宋_GB2312" w:cs="仿宋_GB2312"/>
          <w:snapToGrid w:val="0"/>
          <w:kern w:val="0"/>
          <w:sz w:val="32"/>
          <w:szCs w:val="32"/>
        </w:rPr>
        <w:t>化解金开源担保公司不良贷款，用好融资担保“金钥匙”，持续加大对国有平台公司、优质项目、中小微企业等融资担保力度，推动县域实体经济高质量发展。</w:t>
      </w:r>
    </w:p>
    <w:p>
      <w:pPr>
        <w:keepNext w:val="0"/>
        <w:keepLines w:val="0"/>
        <w:pageBreakBefore w:val="0"/>
        <w:widowControl w:val="0"/>
        <w:kinsoku/>
        <w:wordWrap/>
        <w:overflowPunct/>
        <w:topLinePunct w:val="0"/>
        <w:autoSpaceDE/>
        <w:autoSpaceDN/>
        <w:bidi w:val="0"/>
        <w:adjustRightInd/>
        <w:snapToGrid/>
        <w:spacing w:line="65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（五）打好“财政风险”防御战，不断深化财政体制改革。</w:t>
      </w:r>
      <w:r>
        <w:rPr>
          <w:rFonts w:hint="eastAsia" w:ascii="仿宋_GB2312" w:hAnsi="仿宋_GB2312" w:eastAsia="仿宋_GB2312" w:cs="仿宋_GB2312"/>
          <w:b/>
          <w:bCs/>
          <w:snapToGrid w:val="0"/>
          <w:kern w:val="0"/>
          <w:sz w:val="32"/>
          <w:szCs w:val="32"/>
        </w:rPr>
        <w:t>一是全面深化预算管理改革。</w:t>
      </w:r>
      <w:r>
        <w:rPr>
          <w:rFonts w:hint="eastAsia" w:ascii="仿宋_GB2312" w:hAnsi="仿宋_GB2312" w:eastAsia="仿宋_GB2312" w:cs="仿宋_GB2312"/>
          <w:snapToGrid w:val="0"/>
          <w:kern w:val="0"/>
          <w:sz w:val="32"/>
          <w:szCs w:val="32"/>
        </w:rPr>
        <w:t>坚持“量入为出、以收定支、统筹兼顾、突出重点”原则，推动财政资金向重大政策、重点项目聚集，完善预算支出标准体系，加强基本支出定额管理。硬化预算约束，严格执行县人大审查批准的预算，从严控制预算调剂事项。</w:t>
      </w:r>
      <w:r>
        <w:rPr>
          <w:rFonts w:hint="eastAsia" w:ascii="仿宋_GB2312" w:hAnsi="仿宋_GB2312" w:eastAsia="仿宋_GB2312" w:cs="仿宋_GB2312"/>
          <w:b/>
          <w:bCs/>
          <w:snapToGrid w:val="0"/>
          <w:kern w:val="0"/>
          <w:sz w:val="32"/>
          <w:szCs w:val="32"/>
        </w:rPr>
        <w:t>二是持续推进预算绩效管理。</w:t>
      </w:r>
      <w:r>
        <w:rPr>
          <w:rFonts w:hint="eastAsia" w:ascii="仿宋_GB2312" w:hAnsi="仿宋_GB2312" w:eastAsia="仿宋_GB2312" w:cs="仿宋_GB2312"/>
          <w:snapToGrid w:val="0"/>
          <w:kern w:val="0"/>
          <w:sz w:val="32"/>
          <w:szCs w:val="32"/>
        </w:rPr>
        <w:t>落实重大政策和项目事前论证评估机制，主动参与重大政策和项目的谋划工作。加强绩效管理结果应用，严格实施单位自评、主管部门绩效评价和财政重点评价，深化部门预算绩效管理改革，提高财政资金使用效益。</w:t>
      </w:r>
      <w:r>
        <w:rPr>
          <w:rFonts w:hint="eastAsia" w:ascii="仿宋_GB2312" w:hAnsi="仿宋_GB2312" w:eastAsia="仿宋_GB2312" w:cs="仿宋_GB2312"/>
          <w:b/>
          <w:bCs/>
          <w:snapToGrid w:val="0"/>
          <w:kern w:val="0"/>
          <w:sz w:val="32"/>
          <w:szCs w:val="32"/>
        </w:rPr>
        <w:t>三是积极用好“投转固”成果。</w:t>
      </w:r>
      <w:r>
        <w:rPr>
          <w:rFonts w:hint="eastAsia" w:ascii="仿宋_GB2312" w:hAnsi="仿宋_GB2312" w:eastAsia="仿宋_GB2312" w:cs="仿宋_GB2312"/>
          <w:snapToGrid w:val="0"/>
          <w:kern w:val="0"/>
          <w:sz w:val="32"/>
          <w:szCs w:val="32"/>
        </w:rPr>
        <w:t>按照“投转固”二阶段工作要求，对已建成的政府性投资项目转入固定资产，明晰部门使用权责、准确核算固定资产，逐步推进行政事业单位国有资产规范管理，保障国有资产安全性和完整性。</w:t>
      </w:r>
      <w:r>
        <w:rPr>
          <w:rFonts w:hint="eastAsia" w:ascii="仿宋_GB2312" w:hAnsi="仿宋_GB2312" w:eastAsia="仿宋_GB2312" w:cs="仿宋_GB2312"/>
          <w:b/>
          <w:bCs/>
          <w:snapToGrid w:val="0"/>
          <w:kern w:val="0"/>
          <w:sz w:val="32"/>
          <w:szCs w:val="32"/>
        </w:rPr>
        <w:t>四是牢固树立财经纪律意识。</w:t>
      </w:r>
      <w:r>
        <w:rPr>
          <w:rFonts w:hint="eastAsia" w:ascii="仿宋_GB2312" w:hAnsi="仿宋_GB2312" w:eastAsia="仿宋_GB2312" w:cs="仿宋_GB2312"/>
          <w:snapToGrid w:val="0"/>
          <w:kern w:val="0"/>
          <w:sz w:val="32"/>
          <w:szCs w:val="32"/>
        </w:rPr>
        <w:t>严格执行《预算法》《财政违法行为处罚处分条例》《关于进一步加强财会监督工作的意见》等法律法规，强化财经纪律约束，加强部门预算闭环监管、财政资金动态监控和财务管理监督检查，确保各项财政政策有效落实和财政资金安全运行。</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各位代表，做好新时代财政工作任务艰巨、使命光荣，我们将紧紧围绕县委、县政府决策部署，主动接受县人大依法监督，认真听取县政协意见建议，以强烈的责任感使命感，持久的热情和闯劲，抓住一切时机，利用一切条件，埋头苦干，善作善成，为“建强副中心 淅川当先锋”贡献财政力量！</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附表：</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1.淅川县2023年一般公共预算收入完成情况表</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2.淅川县2023年一般公共预算支出完成情况表</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3.淅川县2023年政府性基金预算收支完成情况表</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4.淅川县2023年国有资本经营预算收支完成情况表</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5.淅川县2023年社会保险基金预算收支完成情况表</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6.淅川县2023年地方政府债务情况表</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7.淅川县2024年一般公共预算收入表（草案）</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8.淅川县2024年一般公共预算支出表（草案）</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9.淅川县2024年政府性基金预算收支表（草案）</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10.淅川县2024年国有资本经营预算收支表（草案）</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11.淅川县2024年社会保险基金预算收支表（草案）</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rPr>
        <w:t>附表1</w:t>
      </w:r>
      <w:r>
        <w:rPr>
          <w:rFonts w:hint="eastAsia" w:ascii="黑体" w:hAnsi="Times New Roman" w:eastAsia="黑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jc w:val="center"/>
        <w:rPr>
          <w:rFonts w:hint="eastAsia" w:ascii="方正大标宋简体" w:hAnsi="仿宋" w:eastAsia="方正大标宋简体" w:cs="仿宋"/>
          <w:color w:val="auto"/>
          <w:spacing w:val="0"/>
          <w:kern w:val="2"/>
          <w:sz w:val="44"/>
          <w:lang w:val="en-US" w:eastAsia="zh-CN" w:bidi="ar-SA"/>
        </w:rPr>
      </w:pPr>
      <w:r>
        <w:rPr>
          <w:rFonts w:hint="eastAsia" w:ascii="方正大标宋简体" w:hAnsi="仿宋" w:eastAsia="方正大标宋简体" w:cs="仿宋"/>
          <w:color w:val="auto"/>
          <w:spacing w:val="0"/>
          <w:kern w:val="2"/>
          <w:sz w:val="44"/>
          <w:lang w:val="en-US" w:eastAsia="zh-CN" w:bidi="ar-SA"/>
        </w:rPr>
        <w:t>淅川县2023年一般公共预算收入完成情况表</w:t>
      </w:r>
    </w:p>
    <w:p>
      <w:pPr>
        <w:keepNext w:val="0"/>
        <w:keepLines w:val="0"/>
        <w:pageBreakBefore w:val="0"/>
        <w:kinsoku/>
        <w:wordWrap/>
        <w:overflowPunct/>
        <w:topLinePunct w:val="0"/>
        <w:autoSpaceDE/>
        <w:autoSpaceDN/>
        <w:bidi w:val="0"/>
        <w:adjustRightInd/>
        <w:spacing w:line="580" w:lineRule="exact"/>
        <w:jc w:val="center"/>
        <w:rPr>
          <w:rFonts w:hint="eastAsia" w:ascii="黑体" w:hAnsi="黑体" w:eastAsia="黑体" w:cs="Times New Roman"/>
          <w:color w:val="auto"/>
          <w:spacing w:val="0"/>
          <w:sz w:val="32"/>
          <w:szCs w:val="32"/>
        </w:rPr>
      </w:pPr>
      <w:r>
        <w:rPr>
          <w:rFonts w:hint="eastAsia" w:ascii="楷体_GB2312" w:hAnsi="宋体" w:eastAsia="楷体_GB2312" w:cs="Times New Roman"/>
          <w:b/>
          <w:color w:val="auto"/>
          <w:spacing w:val="0"/>
          <w:kern w:val="0"/>
          <w:sz w:val="24"/>
          <w:lang w:val="en-US" w:eastAsia="zh-CN"/>
        </w:rPr>
        <w:t xml:space="preserve">                                                         </w:t>
      </w:r>
      <w:r>
        <w:rPr>
          <w:rFonts w:hint="eastAsia" w:ascii="楷体_GB2312" w:hAnsi="宋体" w:eastAsia="楷体_GB2312" w:cs="Times New Roman"/>
          <w:b/>
          <w:color w:val="auto"/>
          <w:spacing w:val="0"/>
          <w:kern w:val="0"/>
          <w:sz w:val="24"/>
        </w:rPr>
        <w:t>单位：万元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4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黑体" w:hAnsi="黑体" w:eastAsia="黑体" w:cs="黑体"/>
                <w:b w:val="0"/>
                <w:bCs/>
                <w:color w:val="auto"/>
                <w:spacing w:val="0"/>
                <w:sz w:val="24"/>
                <w:szCs w:val="24"/>
              </w:rPr>
            </w:pPr>
            <w:r>
              <w:rPr>
                <w:rFonts w:hint="eastAsia" w:ascii="黑体" w:hAnsi="黑体" w:eastAsia="黑体" w:cs="黑体"/>
                <w:b w:val="0"/>
                <w:bCs/>
                <w:color w:val="auto"/>
                <w:spacing w:val="0"/>
                <w:kern w:val="0"/>
                <w:sz w:val="28"/>
                <w:szCs w:val="28"/>
                <w:lang w:bidi="ar"/>
              </w:rPr>
              <w:t>项        目</w:t>
            </w:r>
          </w:p>
        </w:tc>
        <w:tc>
          <w:tcPr>
            <w:tcW w:w="4271" w:type="dxa"/>
            <w:noWrap w:val="0"/>
            <w:vAlign w:val="top"/>
          </w:tcPr>
          <w:p>
            <w:pPr>
              <w:keepNext w:val="0"/>
              <w:keepLines w:val="0"/>
              <w:pageBreakBefore w:val="0"/>
              <w:widowControl/>
              <w:kinsoku/>
              <w:wordWrap/>
              <w:overflowPunct/>
              <w:topLinePunct w:val="0"/>
              <w:autoSpaceDE/>
              <w:autoSpaceDN/>
              <w:bidi w:val="0"/>
              <w:adjustRightInd/>
              <w:jc w:val="center"/>
              <w:textAlignment w:val="center"/>
              <w:rPr>
                <w:rFonts w:hint="eastAsia" w:ascii="黑体" w:hAnsi="黑体" w:eastAsia="黑体" w:cs="黑体"/>
                <w:b w:val="0"/>
                <w:bCs/>
                <w:color w:val="auto"/>
                <w:spacing w:val="0"/>
                <w:kern w:val="0"/>
                <w:sz w:val="28"/>
                <w:szCs w:val="28"/>
                <w:lang w:bidi="ar"/>
              </w:rPr>
            </w:pPr>
            <w:r>
              <w:rPr>
                <w:rFonts w:hint="eastAsia" w:ascii="黑体" w:hAnsi="黑体" w:eastAsia="黑体" w:cs="黑体"/>
                <w:b w:val="0"/>
                <w:bCs/>
                <w:color w:val="auto"/>
                <w:spacing w:val="0"/>
                <w:kern w:val="0"/>
                <w:sz w:val="28"/>
                <w:szCs w:val="28"/>
                <w:lang w:bidi="ar"/>
              </w:rPr>
              <w:t>完成数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Times New Roman" w:eastAsia="仿宋_GB2312" w:cs="Times New Roman"/>
                <w:b/>
                <w:color w:val="auto"/>
                <w:spacing w:val="0"/>
                <w:sz w:val="24"/>
                <w:szCs w:val="24"/>
              </w:rPr>
            </w:pPr>
            <w:r>
              <w:rPr>
                <w:rFonts w:hint="eastAsia" w:ascii="仿宋_GB2312" w:hAnsi="Tahoma" w:eastAsia="仿宋_GB2312" w:cs="仿宋_GB2312"/>
                <w:b/>
                <w:color w:val="auto"/>
                <w:kern w:val="0"/>
                <w:sz w:val="24"/>
                <w:szCs w:val="24"/>
                <w:lang w:bidi="ar"/>
              </w:rPr>
              <w:t>一般公共预算收入</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color w:val="auto"/>
                <w:spacing w:val="0"/>
                <w:kern w:val="2"/>
                <w:sz w:val="24"/>
                <w:szCs w:val="24"/>
                <w:lang w:val="en-US" w:eastAsia="zh-CN" w:bidi="ar-SA"/>
              </w:rPr>
            </w:pPr>
            <w:r>
              <w:rPr>
                <w:rFonts w:hint="eastAsia" w:ascii="仿宋_GB2312" w:hAnsi="Times New Roman" w:eastAsia="仿宋_GB2312" w:cs="Times New Roman"/>
                <w:b/>
                <w:color w:val="auto"/>
                <w:sz w:val="24"/>
                <w:szCs w:val="24"/>
                <w:lang w:val="en-US" w:eastAsia="zh-CN"/>
              </w:rPr>
              <w:t>166465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b/>
                <w:bCs/>
                <w:color w:val="auto"/>
                <w:kern w:val="0"/>
                <w:sz w:val="24"/>
                <w:szCs w:val="24"/>
                <w:lang w:bidi="ar"/>
              </w:rPr>
              <w:t>一、税收收入</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bCs w:val="0"/>
                <w:color w:val="auto"/>
                <w:sz w:val="24"/>
                <w:szCs w:val="24"/>
                <w:lang w:val="en-US" w:eastAsia="zh-CN"/>
              </w:rPr>
              <w:t>106284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增值税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48028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企业所得税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4285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个人所得税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1424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资源税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城市维护建设税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房产税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1486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印花税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城镇土地使用税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土地增值税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18013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ahoma" w:eastAsia="仿宋_GB2312" w:cs="仿宋_GB2312"/>
                <w:color w:val="auto"/>
                <w:kern w:val="0"/>
                <w:sz w:val="24"/>
                <w:szCs w:val="24"/>
                <w:lang w:val="en-US" w:eastAsia="zh-CN" w:bidi="ar"/>
              </w:rPr>
            </w:pPr>
            <w:r>
              <w:rPr>
                <w:rFonts w:hint="eastAsia" w:ascii="仿宋_GB2312" w:hAnsi="Tahoma" w:eastAsia="仿宋_GB2312" w:cs="仿宋_GB2312"/>
                <w:color w:val="auto"/>
                <w:kern w:val="0"/>
                <w:sz w:val="24"/>
                <w:szCs w:val="24"/>
                <w:lang w:val="en-US" w:eastAsia="zh-CN" w:bidi="ar"/>
              </w:rPr>
              <w:t>车船税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sz w:val="24"/>
                <w:szCs w:val="24"/>
                <w:lang w:val="en-US" w:eastAsia="zh-CN"/>
              </w:rPr>
            </w:pPr>
            <w:r>
              <w:rPr>
                <w:rFonts w:hint="eastAsia" w:ascii="仿宋_GB2312" w:hAnsi="Times New Roman" w:eastAsia="仿宋_GB2312" w:cs="Times New Roman"/>
                <w:bCs/>
                <w:color w:val="auto"/>
                <w:sz w:val="24"/>
                <w:szCs w:val="24"/>
                <w:lang w:val="en-US" w:eastAsia="zh-CN"/>
              </w:rPr>
              <w:t>3555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耕地占用税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7689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契税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9882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烟叶税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 w:val="0"/>
                <w:bCs w:val="0"/>
                <w:color w:val="auto"/>
                <w:spacing w:val="0"/>
                <w:kern w:val="2"/>
                <w:sz w:val="24"/>
                <w:szCs w:val="24"/>
                <w:lang w:val="en-US" w:eastAsia="zh-CN" w:bidi="ar-SA"/>
              </w:rP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ahoma" w:eastAsia="仿宋_GB2312" w:cs="仿宋_GB2312"/>
                <w:color w:val="auto"/>
                <w:spacing w:val="0"/>
                <w:kern w:val="0"/>
                <w:sz w:val="24"/>
                <w:szCs w:val="24"/>
                <w:lang w:bidi="ar"/>
              </w:rPr>
            </w:pPr>
            <w:r>
              <w:rPr>
                <w:rFonts w:hint="eastAsia" w:ascii="仿宋_GB2312" w:hAnsi="Tahoma" w:eastAsia="仿宋_GB2312" w:cs="仿宋_GB2312"/>
                <w:color w:val="auto"/>
                <w:kern w:val="0"/>
                <w:sz w:val="24"/>
                <w:szCs w:val="24"/>
                <w:lang w:bidi="ar"/>
              </w:rPr>
              <w:t>环境保护税</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ahoma" w:eastAsia="仿宋_GB2312" w:cs="仿宋_GB2312"/>
                <w:b w:val="0"/>
                <w:bCs w:val="0"/>
                <w:color w:val="auto"/>
                <w:spacing w:val="0"/>
                <w:kern w:val="0"/>
                <w:sz w:val="24"/>
                <w:szCs w:val="24"/>
                <w:lang w:val="en-US" w:eastAsia="zh-CN" w:bidi="ar"/>
              </w:rPr>
            </w:pPr>
            <w:r>
              <w:rPr>
                <w:rFonts w:hint="eastAsia" w:ascii="仿宋_GB2312" w:hAnsi="Tahoma" w:eastAsia="仿宋_GB2312" w:cs="仿宋_GB2312"/>
                <w:b w:val="0"/>
                <w:bCs w:val="0"/>
                <w:color w:val="auto"/>
                <w:spacing w:val="0"/>
                <w:kern w:val="0"/>
                <w:sz w:val="24"/>
                <w:szCs w:val="24"/>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_GB2312" w:hAnsi="Tahoma" w:eastAsia="仿宋_GB2312" w:cs="仿宋_GB2312"/>
                <w:color w:val="auto"/>
                <w:spacing w:val="0"/>
                <w:kern w:val="0"/>
                <w:sz w:val="24"/>
                <w:szCs w:val="24"/>
                <w:lang w:bidi="ar"/>
              </w:rPr>
            </w:pPr>
            <w:r>
              <w:rPr>
                <w:rFonts w:hint="eastAsia" w:ascii="仿宋_GB2312" w:hAnsi="Tahoma" w:eastAsia="仿宋_GB2312" w:cs="仿宋_GB2312"/>
                <w:b/>
                <w:bCs/>
                <w:color w:val="auto"/>
                <w:kern w:val="0"/>
                <w:sz w:val="24"/>
                <w:szCs w:val="24"/>
                <w:lang w:bidi="ar"/>
              </w:rPr>
              <w:t>二、非税收入</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ahoma" w:eastAsia="仿宋_GB2312" w:cs="仿宋_GB2312"/>
                <w:b w:val="0"/>
                <w:bCs w:val="0"/>
                <w:color w:val="auto"/>
                <w:spacing w:val="0"/>
                <w:kern w:val="0"/>
                <w:sz w:val="24"/>
                <w:szCs w:val="24"/>
                <w:lang w:val="en-US" w:eastAsia="zh-CN" w:bidi="ar"/>
              </w:rPr>
            </w:pPr>
            <w:r>
              <w:rPr>
                <w:rFonts w:hint="eastAsia" w:ascii="仿宋_GB2312" w:hAnsi="Tahoma" w:eastAsia="仿宋_GB2312" w:cs="仿宋_GB2312"/>
                <w:b/>
                <w:bCs/>
                <w:color w:val="auto"/>
                <w:spacing w:val="0"/>
                <w:kern w:val="0"/>
                <w:sz w:val="24"/>
                <w:szCs w:val="24"/>
                <w:lang w:val="en-US" w:eastAsia="zh-CN" w:bidi="ar"/>
              </w:rPr>
              <w:t>60181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ahoma" w:eastAsia="仿宋_GB2312" w:cs="仿宋_GB2312"/>
                <w:color w:val="auto"/>
                <w:spacing w:val="0"/>
                <w:kern w:val="0"/>
                <w:sz w:val="24"/>
                <w:szCs w:val="24"/>
                <w:lang w:bidi="ar"/>
              </w:rPr>
            </w:pPr>
            <w:r>
              <w:rPr>
                <w:rFonts w:hint="eastAsia" w:ascii="仿宋_GB2312" w:hAnsi="Tahoma" w:eastAsia="仿宋_GB2312" w:cs="仿宋_GB2312"/>
                <w:color w:val="auto"/>
                <w:kern w:val="0"/>
                <w:sz w:val="24"/>
                <w:szCs w:val="24"/>
                <w:lang w:bidi="ar"/>
              </w:rPr>
              <w:t>专项收入</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ahoma" w:eastAsia="仿宋_GB2312" w:cs="仿宋_GB2312"/>
                <w:b w:val="0"/>
                <w:bCs w:val="0"/>
                <w:color w:val="auto"/>
                <w:spacing w:val="0"/>
                <w:kern w:val="0"/>
                <w:sz w:val="24"/>
                <w:szCs w:val="24"/>
                <w:lang w:val="en-US" w:eastAsia="zh-CN" w:bidi="ar"/>
              </w:rPr>
            </w:pPr>
            <w:r>
              <w:rPr>
                <w:rFonts w:hint="eastAsia" w:ascii="仿宋_GB2312" w:hAnsi="Tahoma" w:eastAsia="仿宋_GB2312" w:cs="仿宋_GB2312"/>
                <w:bCs/>
                <w:color w:val="auto"/>
                <w:kern w:val="0"/>
                <w:sz w:val="24"/>
                <w:szCs w:val="24"/>
                <w:lang w:val="en-US" w:eastAsia="zh-CN" w:bidi="ar"/>
              </w:rPr>
              <w:t>3027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行政事业性收费收入</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Cs/>
                <w:color w:val="auto"/>
                <w:sz w:val="24"/>
                <w:szCs w:val="24"/>
                <w:lang w:val="en-US" w:eastAsia="zh-CN"/>
              </w:rPr>
              <w:t>15457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罚没收入</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Cs/>
                <w:color w:val="auto"/>
                <w:sz w:val="24"/>
                <w:szCs w:val="24"/>
                <w:lang w:val="en-US" w:eastAsia="zh-CN"/>
              </w:rPr>
              <w:t>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lang w:eastAsia="zh-CN"/>
              </w:rPr>
            </w:pPr>
            <w:r>
              <w:rPr>
                <w:rFonts w:hint="eastAsia" w:ascii="仿宋_GB2312" w:hAnsi="Tahoma" w:eastAsia="仿宋_GB2312" w:cs="仿宋_GB2312"/>
                <w:color w:val="auto"/>
                <w:kern w:val="0"/>
                <w:sz w:val="24"/>
                <w:szCs w:val="24"/>
                <w:lang w:bidi="ar"/>
              </w:rPr>
              <w:t>国有资源（资产）有偿使用</w:t>
            </w:r>
            <w:r>
              <w:rPr>
                <w:rFonts w:hint="eastAsia" w:ascii="仿宋_GB2312" w:hAnsi="Tahoma" w:eastAsia="仿宋_GB2312" w:cs="仿宋_GB2312"/>
                <w:color w:val="auto"/>
                <w:kern w:val="0"/>
                <w:sz w:val="24"/>
                <w:szCs w:val="24"/>
                <w:lang w:eastAsia="zh-CN" w:bidi="ar"/>
              </w:rPr>
              <w:t>收入</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Cs/>
                <w:color w:val="auto"/>
                <w:sz w:val="24"/>
                <w:szCs w:val="24"/>
                <w:lang w:val="en-US" w:eastAsia="zh-CN"/>
              </w:rPr>
              <w:t>37634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仿宋_GB2312" w:hAnsi="Times New Roman" w:eastAsia="仿宋_GB2312" w:cs="Times New Roman"/>
                <w:color w:val="auto"/>
                <w:spacing w:val="0"/>
                <w:sz w:val="24"/>
                <w:szCs w:val="24"/>
              </w:rPr>
            </w:pPr>
            <w:r>
              <w:rPr>
                <w:rFonts w:hint="eastAsia" w:ascii="仿宋_GB2312" w:hAnsi="Tahoma" w:eastAsia="仿宋_GB2312" w:cs="仿宋_GB2312"/>
                <w:color w:val="auto"/>
                <w:kern w:val="0"/>
                <w:sz w:val="24"/>
                <w:szCs w:val="24"/>
                <w:lang w:bidi="ar"/>
              </w:rPr>
              <w:t>政府住房基金收入</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val="0"/>
                <w:bCs w:val="0"/>
                <w:color w:val="auto"/>
                <w:spacing w:val="0"/>
                <w:kern w:val="2"/>
                <w:sz w:val="24"/>
                <w:szCs w:val="24"/>
                <w:lang w:val="en-US" w:eastAsia="zh-CN" w:bidi="ar-SA"/>
              </w:rPr>
            </w:pPr>
            <w:r>
              <w:rPr>
                <w:rFonts w:hint="eastAsia" w:ascii="仿宋_GB2312" w:hAnsi="Times New Roman" w:eastAsia="仿宋_GB2312" w:cs="Times New Roman"/>
                <w:bCs/>
                <w:color w:val="auto"/>
                <w:sz w:val="24"/>
                <w:szCs w:val="24"/>
                <w:lang w:val="en-US" w:eastAsia="zh-CN"/>
              </w:rPr>
              <w:t>2214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0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default" w:ascii="仿宋_GB2312" w:hAnsi="Tahoma" w:eastAsia="仿宋_GB2312" w:cs="仿宋_GB2312"/>
                <w:color w:val="auto"/>
                <w:kern w:val="0"/>
                <w:sz w:val="24"/>
                <w:szCs w:val="24"/>
                <w:lang w:val="en-US" w:eastAsia="zh-CN" w:bidi="ar"/>
              </w:rPr>
            </w:pPr>
            <w:r>
              <w:rPr>
                <w:rFonts w:hint="eastAsia" w:ascii="仿宋_GB2312" w:hAnsi="Tahoma" w:eastAsia="仿宋_GB2312" w:cs="仿宋_GB2312"/>
                <w:color w:val="auto"/>
                <w:kern w:val="0"/>
                <w:sz w:val="24"/>
                <w:szCs w:val="24"/>
                <w:lang w:val="en-US" w:eastAsia="zh-CN" w:bidi="ar"/>
              </w:rPr>
              <w:t>其他收入</w:t>
            </w:r>
          </w:p>
        </w:tc>
        <w:tc>
          <w:tcPr>
            <w:tcW w:w="427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sz w:val="24"/>
                <w:szCs w:val="24"/>
                <w:lang w:val="en-US" w:eastAsia="zh-CN"/>
              </w:rPr>
            </w:pPr>
          </w:p>
        </w:tc>
      </w:tr>
    </w:tbl>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after="157" w:afterLines="50" w:line="580" w:lineRule="exact"/>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rPr>
        <w:t>附表2</w:t>
      </w:r>
      <w:r>
        <w:rPr>
          <w:rFonts w:hint="eastAsia" w:ascii="黑体" w:hAnsi="Times New Roman" w:eastAsia="黑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jc w:val="center"/>
        <w:rPr>
          <w:rFonts w:hint="eastAsia" w:ascii="方正大标宋简体" w:hAnsi="仿宋" w:eastAsia="方正大标宋简体" w:cs="仿宋"/>
          <w:color w:val="auto"/>
          <w:spacing w:val="0"/>
          <w:kern w:val="2"/>
          <w:sz w:val="44"/>
          <w:lang w:val="en-US" w:eastAsia="zh-CN" w:bidi="ar-SA"/>
        </w:rPr>
      </w:pPr>
      <w:r>
        <w:rPr>
          <w:rFonts w:hint="eastAsia" w:ascii="方正大标宋简体" w:hAnsi="仿宋" w:eastAsia="方正大标宋简体" w:cs="仿宋"/>
          <w:color w:val="auto"/>
          <w:spacing w:val="0"/>
          <w:kern w:val="2"/>
          <w:sz w:val="44"/>
          <w:lang w:val="en-US" w:eastAsia="zh-CN" w:bidi="ar-SA"/>
        </w:rPr>
        <w:t>淅川县2023年一般公共预算支出完成情况表</w:t>
      </w:r>
    </w:p>
    <w:p>
      <w:pPr>
        <w:keepNext w:val="0"/>
        <w:keepLines w:val="0"/>
        <w:pageBreakBefore w:val="0"/>
        <w:kinsoku/>
        <w:wordWrap/>
        <w:overflowPunct/>
        <w:topLinePunct w:val="0"/>
        <w:autoSpaceDE/>
        <w:autoSpaceDN/>
        <w:bidi w:val="0"/>
        <w:adjustRightInd/>
        <w:spacing w:line="580" w:lineRule="exact"/>
        <w:jc w:val="center"/>
        <w:rPr>
          <w:rFonts w:hint="eastAsia" w:ascii="楷体_GB2312" w:hAnsi="宋体" w:eastAsia="楷体_GB2312" w:cs="Times New Roman"/>
          <w:b/>
          <w:color w:val="auto"/>
          <w:spacing w:val="0"/>
          <w:kern w:val="0"/>
          <w:sz w:val="24"/>
        </w:rPr>
      </w:pPr>
      <w:r>
        <w:rPr>
          <w:rFonts w:hint="eastAsia" w:ascii="楷体_GB2312" w:hAnsi="宋体" w:eastAsia="楷体_GB2312" w:cs="Times New Roman"/>
          <w:b/>
          <w:color w:val="auto"/>
          <w:spacing w:val="0"/>
          <w:kern w:val="0"/>
          <w:sz w:val="24"/>
          <w:lang w:val="en-US" w:eastAsia="zh-CN"/>
        </w:rPr>
        <w:t xml:space="preserve">                                                      </w:t>
      </w:r>
      <w:r>
        <w:rPr>
          <w:rFonts w:hint="eastAsia" w:ascii="楷体_GB2312" w:hAnsi="宋体" w:eastAsia="楷体_GB2312" w:cs="Times New Roman"/>
          <w:b/>
          <w:color w:val="auto"/>
          <w:spacing w:val="0"/>
          <w:kern w:val="0"/>
          <w:sz w:val="24"/>
        </w:rPr>
        <w:t>单位：万元</w:t>
      </w:r>
    </w:p>
    <w:tbl>
      <w:tblPr>
        <w:tblStyle w:val="8"/>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6"/>
        <w:gridCol w:w="3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center"/>
              <w:rPr>
                <w:rFonts w:hint="eastAsia" w:ascii="黑体" w:hAnsi="宋体" w:eastAsia="黑体" w:cs="Times New Roman"/>
                <w:color w:val="auto"/>
                <w:spacing w:val="0"/>
                <w:kern w:val="0"/>
                <w:sz w:val="24"/>
                <w:szCs w:val="24"/>
              </w:rPr>
            </w:pPr>
            <w:r>
              <w:rPr>
                <w:rFonts w:hint="eastAsia" w:ascii="黑体" w:hAnsi="宋体" w:eastAsia="黑体" w:cs="Times New Roman"/>
                <w:color w:val="auto"/>
                <w:spacing w:val="0"/>
                <w:kern w:val="0"/>
                <w:sz w:val="24"/>
                <w:szCs w:val="24"/>
              </w:rPr>
              <w:t>项    目</w:t>
            </w:r>
          </w:p>
        </w:tc>
        <w:tc>
          <w:tcPr>
            <w:tcW w:w="3692" w:type="dxa"/>
            <w:noWrap w:val="0"/>
            <w:vAlign w:val="center"/>
          </w:tcPr>
          <w:p>
            <w:pPr>
              <w:keepNext w:val="0"/>
              <w:keepLines w:val="0"/>
              <w:pageBreakBefore w:val="0"/>
              <w:widowControl/>
              <w:kinsoku/>
              <w:wordWrap/>
              <w:overflowPunct/>
              <w:topLinePunct w:val="0"/>
              <w:autoSpaceDE/>
              <w:autoSpaceDN/>
              <w:bidi w:val="0"/>
              <w:adjustRightInd/>
              <w:jc w:val="center"/>
              <w:rPr>
                <w:rFonts w:hint="eastAsia" w:ascii="黑体" w:hAnsi="宋体" w:eastAsia="黑体" w:cs="Times New Roman"/>
                <w:color w:val="auto"/>
                <w:spacing w:val="0"/>
                <w:kern w:val="0"/>
                <w:sz w:val="24"/>
                <w:szCs w:val="24"/>
              </w:rPr>
            </w:pPr>
            <w:r>
              <w:rPr>
                <w:rFonts w:hint="eastAsia" w:ascii="黑体" w:hAnsi="宋体" w:eastAsia="黑体" w:cs="Times New Roman"/>
                <w:color w:val="auto"/>
                <w:spacing w:val="0"/>
                <w:kern w:val="0"/>
                <w:sz w:val="24"/>
                <w:szCs w:val="24"/>
              </w:rPr>
              <w:t>完成数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仿宋_GB2312" w:hAnsi="宋体" w:eastAsia="仿宋_GB2312" w:cs="Times New Roman"/>
                <w:b/>
                <w:bCs/>
                <w:color w:val="auto"/>
                <w:spacing w:val="0"/>
                <w:kern w:val="0"/>
                <w:sz w:val="24"/>
                <w:szCs w:val="24"/>
              </w:rPr>
            </w:pPr>
            <w:r>
              <w:rPr>
                <w:rFonts w:hint="eastAsia" w:ascii="仿宋_GB2312" w:hAnsi="Tahoma" w:eastAsia="仿宋_GB2312" w:cs="仿宋_GB2312"/>
                <w:b/>
                <w:color w:val="auto"/>
                <w:spacing w:val="0"/>
                <w:kern w:val="0"/>
                <w:sz w:val="24"/>
                <w:szCs w:val="24"/>
                <w:lang w:bidi="ar"/>
              </w:rPr>
              <w:t>一般公共预算支出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b/>
                <w:bCs/>
                <w:color w:val="auto"/>
                <w:spacing w:val="0"/>
                <w:kern w:val="2"/>
                <w:sz w:val="22"/>
                <w:szCs w:val="24"/>
                <w:lang w:val="en-US" w:eastAsia="zh-CN" w:bidi="ar-SA"/>
              </w:rPr>
            </w:pPr>
            <w:r>
              <w:rPr>
                <w:rFonts w:hint="eastAsia" w:ascii="仿宋_GB2312" w:hAnsi="宋体" w:eastAsia="仿宋_GB2312" w:cs="仿宋_GB2312"/>
                <w:b/>
                <w:i w:val="0"/>
                <w:color w:val="auto"/>
                <w:spacing w:val="0"/>
                <w:kern w:val="0"/>
                <w:sz w:val="22"/>
                <w:szCs w:val="22"/>
                <w:u w:val="none"/>
                <w:lang w:val="en-US" w:eastAsia="zh-CN" w:bidi="ar"/>
              </w:rPr>
              <w:t>580539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一、一般公共服务支出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48499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 xml:space="preserve">二、外交支出 </w:t>
            </w:r>
          </w:p>
        </w:tc>
        <w:tc>
          <w:tcPr>
            <w:tcW w:w="3692" w:type="dxa"/>
            <w:noWrap w:val="0"/>
            <w:vAlign w:val="center"/>
          </w:tcPr>
          <w:p>
            <w:pPr>
              <w:keepNext w:val="0"/>
              <w:keepLines w:val="0"/>
              <w:pageBreakBefore w:val="0"/>
              <w:kinsoku/>
              <w:wordWrap/>
              <w:overflowPunct/>
              <w:topLinePunct w:val="0"/>
              <w:autoSpaceDE/>
              <w:autoSpaceDN/>
              <w:bidi w:val="0"/>
              <w:adjustRightInd/>
              <w:jc w:val="center"/>
              <w:rPr>
                <w:rFonts w:ascii="仿宋_GB2312" w:hAnsi="Tahoma" w:eastAsia="仿宋_GB2312" w:cs="Tahoma"/>
                <w:color w:val="auto"/>
                <w:spacing w:val="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三、国防支出</w:t>
            </w:r>
          </w:p>
        </w:tc>
        <w:tc>
          <w:tcPr>
            <w:tcW w:w="3692" w:type="dxa"/>
            <w:noWrap w:val="0"/>
            <w:vAlign w:val="center"/>
          </w:tcPr>
          <w:p>
            <w:pPr>
              <w:keepNext w:val="0"/>
              <w:keepLines w:val="0"/>
              <w:pageBreakBefore w:val="0"/>
              <w:kinsoku/>
              <w:wordWrap/>
              <w:overflowPunct/>
              <w:topLinePunct w:val="0"/>
              <w:autoSpaceDE/>
              <w:autoSpaceDN/>
              <w:bidi w:val="0"/>
              <w:adjustRightInd/>
              <w:jc w:val="center"/>
              <w:rPr>
                <w:rFonts w:hint="default" w:ascii="仿宋_GB2312" w:hAnsi="Tahoma" w:eastAsia="仿宋_GB2312" w:cs="Tahoma"/>
                <w:color w:val="auto"/>
                <w:spacing w:val="0"/>
                <w:kern w:val="2"/>
                <w:sz w:val="22"/>
                <w:szCs w:val="24"/>
                <w:lang w:val="en-US" w:eastAsia="zh-CN" w:bidi="ar-SA"/>
              </w:rPr>
            </w:pPr>
            <w:r>
              <w:rPr>
                <w:rFonts w:hint="eastAsia" w:ascii="仿宋_GB2312" w:hAnsi="Tahoma" w:eastAsia="仿宋_GB2312" w:cs="Tahoma"/>
                <w:color w:val="auto"/>
                <w:spacing w:val="0"/>
                <w:kern w:val="2"/>
                <w:sz w:val="22"/>
                <w:szCs w:val="24"/>
                <w:lang w:val="en-US" w:eastAsia="zh-CN" w:bidi="ar-S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四、公共安全支出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12428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五、教育支出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132164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六、科学技术支出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39855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七、文化旅游体育与传媒支出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8062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八、社会保障和就业支出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68531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九、卫生健康支出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41457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十、节能环保支出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26546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十一、城乡社区支出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20589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十二、农林水支出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119275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十三、交通运输支出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17835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十四、资源勘探信息等支出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3960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十五、商业服务业等支出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3578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十六、金融支出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十</w:t>
            </w:r>
            <w:r>
              <w:rPr>
                <w:rFonts w:hint="eastAsia" w:ascii="仿宋_GB2312" w:hAnsi="Tahoma" w:eastAsia="仿宋_GB2312" w:cs="仿宋_GB2312"/>
                <w:color w:val="auto"/>
                <w:spacing w:val="0"/>
                <w:kern w:val="0"/>
                <w:sz w:val="24"/>
                <w:szCs w:val="24"/>
                <w:lang w:eastAsia="zh-CN" w:bidi="ar"/>
              </w:rPr>
              <w:t>七</w:t>
            </w:r>
            <w:r>
              <w:rPr>
                <w:rFonts w:hint="eastAsia" w:ascii="仿宋_GB2312" w:hAnsi="Tahoma" w:eastAsia="仿宋_GB2312" w:cs="仿宋_GB2312"/>
                <w:color w:val="auto"/>
                <w:spacing w:val="0"/>
                <w:kern w:val="0"/>
                <w:sz w:val="24"/>
                <w:szCs w:val="24"/>
                <w:lang w:bidi="ar"/>
              </w:rPr>
              <w:t>、自然资源海洋气象等支出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6344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十</w:t>
            </w:r>
            <w:r>
              <w:rPr>
                <w:rFonts w:hint="eastAsia" w:ascii="仿宋_GB2312" w:hAnsi="Tahoma" w:eastAsia="仿宋_GB2312" w:cs="仿宋_GB2312"/>
                <w:color w:val="auto"/>
                <w:spacing w:val="0"/>
                <w:kern w:val="0"/>
                <w:sz w:val="24"/>
                <w:szCs w:val="24"/>
                <w:lang w:eastAsia="zh-CN" w:bidi="ar"/>
              </w:rPr>
              <w:t>八</w:t>
            </w:r>
            <w:r>
              <w:rPr>
                <w:rFonts w:hint="eastAsia" w:ascii="仿宋_GB2312" w:hAnsi="Tahoma" w:eastAsia="仿宋_GB2312" w:cs="仿宋_GB2312"/>
                <w:color w:val="auto"/>
                <w:spacing w:val="0"/>
                <w:kern w:val="0"/>
                <w:sz w:val="24"/>
                <w:szCs w:val="24"/>
                <w:lang w:bidi="ar"/>
              </w:rPr>
              <w:t>、住房保障支出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11056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eastAsia="zh-CN" w:bidi="ar"/>
              </w:rPr>
              <w:t>十九</w:t>
            </w:r>
            <w:r>
              <w:rPr>
                <w:rFonts w:hint="eastAsia" w:ascii="仿宋_GB2312" w:hAnsi="Tahoma" w:eastAsia="仿宋_GB2312" w:cs="仿宋_GB2312"/>
                <w:color w:val="auto"/>
                <w:spacing w:val="0"/>
                <w:kern w:val="0"/>
                <w:sz w:val="24"/>
                <w:szCs w:val="24"/>
                <w:lang w:bidi="ar"/>
              </w:rPr>
              <w:t>、粮油物资储备支出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Tahoma" w:eastAsia="仿宋_GB2312" w:cs="仿宋_GB2312"/>
                <w:color w:val="auto"/>
                <w:spacing w:val="0"/>
                <w:kern w:val="0"/>
                <w:sz w:val="24"/>
                <w:szCs w:val="24"/>
                <w:lang w:bidi="ar"/>
              </w:rPr>
            </w:pPr>
            <w:r>
              <w:rPr>
                <w:rFonts w:hint="eastAsia" w:ascii="仿宋_GB2312" w:hAnsi="Tahoma" w:eastAsia="仿宋_GB2312" w:cs="仿宋_GB2312"/>
                <w:color w:val="auto"/>
                <w:spacing w:val="0"/>
                <w:kern w:val="0"/>
                <w:sz w:val="24"/>
                <w:szCs w:val="24"/>
                <w:lang w:bidi="ar"/>
              </w:rPr>
              <w:t>二十、灾害防治及应急管理支出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二十</w:t>
            </w:r>
            <w:r>
              <w:rPr>
                <w:rFonts w:hint="eastAsia" w:ascii="仿宋_GB2312" w:hAnsi="Tahoma" w:eastAsia="仿宋_GB2312" w:cs="仿宋_GB2312"/>
                <w:color w:val="auto"/>
                <w:spacing w:val="0"/>
                <w:kern w:val="0"/>
                <w:sz w:val="24"/>
                <w:szCs w:val="24"/>
                <w:lang w:eastAsia="zh-CN" w:bidi="ar"/>
              </w:rPr>
              <w:t>一</w:t>
            </w:r>
            <w:r>
              <w:rPr>
                <w:rFonts w:hint="eastAsia" w:ascii="仿宋_GB2312" w:hAnsi="Tahoma" w:eastAsia="仿宋_GB2312" w:cs="仿宋_GB2312"/>
                <w:color w:val="auto"/>
                <w:spacing w:val="0"/>
                <w:kern w:val="0"/>
                <w:sz w:val="24"/>
                <w:szCs w:val="24"/>
                <w:lang w:bidi="ar"/>
              </w:rPr>
              <w:t>、其他支出</w:t>
            </w:r>
          </w:p>
        </w:tc>
        <w:tc>
          <w:tcPr>
            <w:tcW w:w="3692" w:type="dxa"/>
            <w:noWrap w:val="0"/>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仿宋_GB2312" w:hAnsi="Tahoma" w:eastAsia="仿宋_GB2312" w:cs="Tahoma"/>
                <w:color w:val="auto"/>
                <w:spacing w:val="0"/>
                <w:kern w:val="2"/>
                <w:sz w:val="22"/>
                <w:szCs w:val="24"/>
                <w:lang w:val="en-US" w:eastAsia="zh-CN" w:bidi="ar-SA"/>
              </w:rPr>
            </w:pPr>
            <w:r>
              <w:rPr>
                <w:rFonts w:hint="eastAsia" w:ascii="仿宋_GB2312" w:hAnsi="宋体" w:eastAsia="仿宋_GB2312" w:cs="仿宋_GB2312"/>
                <w:i w:val="0"/>
                <w:color w:val="auto"/>
                <w:spacing w:val="0"/>
                <w:kern w:val="0"/>
                <w:sz w:val="24"/>
                <w:szCs w:val="24"/>
                <w:u w:val="none"/>
                <w:lang w:val="en-US" w:eastAsia="zh-CN" w:bidi="ar"/>
              </w:rPr>
              <w:t>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36" w:type="dxa"/>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宋体" w:eastAsia="仿宋_GB2312" w:cs="Times New Roman"/>
                <w:color w:val="auto"/>
                <w:spacing w:val="0"/>
                <w:kern w:val="0"/>
                <w:sz w:val="24"/>
                <w:szCs w:val="24"/>
              </w:rPr>
            </w:pPr>
            <w:r>
              <w:rPr>
                <w:rFonts w:hint="eastAsia" w:ascii="仿宋_GB2312" w:hAnsi="Tahoma" w:eastAsia="仿宋_GB2312" w:cs="仿宋_GB2312"/>
                <w:color w:val="auto"/>
                <w:spacing w:val="0"/>
                <w:kern w:val="0"/>
                <w:sz w:val="24"/>
                <w:szCs w:val="24"/>
                <w:lang w:bidi="ar"/>
              </w:rPr>
              <w:t>二十</w:t>
            </w:r>
            <w:r>
              <w:rPr>
                <w:rFonts w:hint="eastAsia" w:ascii="仿宋_GB2312" w:hAnsi="Tahoma" w:eastAsia="仿宋_GB2312" w:cs="仿宋_GB2312"/>
                <w:color w:val="auto"/>
                <w:spacing w:val="0"/>
                <w:kern w:val="0"/>
                <w:sz w:val="24"/>
                <w:szCs w:val="24"/>
                <w:lang w:eastAsia="zh-CN" w:bidi="ar"/>
              </w:rPr>
              <w:t>二</w:t>
            </w:r>
            <w:r>
              <w:rPr>
                <w:rFonts w:hint="eastAsia" w:ascii="仿宋_GB2312" w:hAnsi="Tahoma" w:eastAsia="仿宋_GB2312" w:cs="仿宋_GB2312"/>
                <w:color w:val="auto"/>
                <w:spacing w:val="0"/>
                <w:kern w:val="0"/>
                <w:sz w:val="24"/>
                <w:szCs w:val="24"/>
                <w:lang w:bidi="ar"/>
              </w:rPr>
              <w:t>、债务付息支出</w:t>
            </w:r>
          </w:p>
        </w:tc>
        <w:tc>
          <w:tcPr>
            <w:tcW w:w="3692" w:type="dxa"/>
            <w:noWrap w:val="0"/>
            <w:vAlign w:val="center"/>
          </w:tcPr>
          <w:p>
            <w:pPr>
              <w:keepNext w:val="0"/>
              <w:keepLines w:val="0"/>
              <w:pageBreakBefore w:val="0"/>
              <w:kinsoku/>
              <w:wordWrap/>
              <w:overflowPunct/>
              <w:topLinePunct w:val="0"/>
              <w:autoSpaceDE/>
              <w:autoSpaceDN/>
              <w:bidi w:val="0"/>
              <w:adjustRightInd/>
              <w:jc w:val="center"/>
              <w:rPr>
                <w:rFonts w:hint="default" w:ascii="仿宋_GB2312" w:hAnsi="Tahoma" w:eastAsia="仿宋_GB2312" w:cs="Tahoma"/>
                <w:color w:val="auto"/>
                <w:spacing w:val="0"/>
                <w:kern w:val="2"/>
                <w:sz w:val="22"/>
                <w:szCs w:val="24"/>
                <w:lang w:val="en-US" w:eastAsia="zh-CN" w:bidi="ar-SA"/>
              </w:rPr>
            </w:pPr>
            <w:r>
              <w:rPr>
                <w:rFonts w:hint="eastAsia" w:ascii="仿宋_GB2312" w:hAnsi="Tahoma" w:eastAsia="仿宋_GB2312" w:cs="Tahoma"/>
                <w:color w:val="auto"/>
                <w:spacing w:val="0"/>
                <w:sz w:val="22"/>
                <w:szCs w:val="24"/>
                <w:lang w:val="en-US" w:eastAsia="zh-CN"/>
              </w:rPr>
              <w:t>10409</w:t>
            </w:r>
          </w:p>
        </w:tc>
      </w:tr>
    </w:tbl>
    <w:p>
      <w:pPr>
        <w:keepNext w:val="0"/>
        <w:keepLines w:val="0"/>
        <w:pageBreakBefore w:val="0"/>
        <w:kinsoku/>
        <w:wordWrap/>
        <w:overflowPunct/>
        <w:topLinePunct w:val="0"/>
        <w:autoSpaceDE/>
        <w:autoSpaceDN/>
        <w:bidi w:val="0"/>
        <w:adjustRightInd/>
        <w:snapToGrid w:val="0"/>
        <w:ind w:firstLine="482" w:firstLineChars="200"/>
        <w:rPr>
          <w:rFonts w:hint="eastAsia" w:ascii="仿宋_GB2312" w:hAnsi="宋体" w:eastAsia="仿宋_GB2312" w:cs="Times New Roman"/>
          <w:b/>
          <w:color w:val="auto"/>
          <w:spacing w:val="0"/>
          <w:sz w:val="24"/>
          <w:szCs w:val="24"/>
        </w:rPr>
      </w:pP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_GB2312" w:hAnsi="宋体" w:eastAsia="仿宋_GB2312" w:cs="Times New Roman"/>
          <w:b/>
          <w:color w:val="auto"/>
          <w:spacing w:val="0"/>
          <w:kern w:val="0"/>
          <w:sz w:val="24"/>
          <w:szCs w:val="24"/>
          <w:lang w:eastAsia="zh-CN"/>
        </w:rPr>
      </w:pPr>
      <w:r>
        <w:rPr>
          <w:rFonts w:hint="eastAsia" w:ascii="仿宋_GB2312" w:hAnsi="宋体" w:eastAsia="仿宋_GB2312" w:cs="Times New Roman"/>
          <w:b/>
          <w:color w:val="auto"/>
          <w:spacing w:val="0"/>
          <w:sz w:val="24"/>
          <w:szCs w:val="24"/>
        </w:rPr>
        <w:t>注：20</w:t>
      </w:r>
      <w:r>
        <w:rPr>
          <w:rFonts w:hint="eastAsia" w:ascii="仿宋_GB2312" w:hAnsi="宋体" w:eastAsia="仿宋_GB2312" w:cs="Times New Roman"/>
          <w:b/>
          <w:color w:val="auto"/>
          <w:spacing w:val="0"/>
          <w:sz w:val="24"/>
          <w:szCs w:val="24"/>
          <w:lang w:val="en-US" w:eastAsia="zh-CN"/>
        </w:rPr>
        <w:t>23</w:t>
      </w:r>
      <w:r>
        <w:rPr>
          <w:rFonts w:hint="eastAsia" w:ascii="仿宋_GB2312" w:hAnsi="宋体" w:eastAsia="仿宋_GB2312" w:cs="Times New Roman"/>
          <w:b/>
          <w:color w:val="auto"/>
          <w:spacing w:val="0"/>
          <w:sz w:val="24"/>
          <w:szCs w:val="24"/>
        </w:rPr>
        <w:t>年一般公共预算支出资金来源包括一般公共预算本级收入、上级转移支付和地方政府一般债券资金。</w:t>
      </w:r>
    </w:p>
    <w:p>
      <w:pPr>
        <w:rPr>
          <w:rFonts w:hint="eastAsia" w:asciiTheme="minorAscii" w:hAnsiTheme="minorAscii" w:eastAsiaTheme="minorEastAsia"/>
          <w:snapToGrid w:val="0"/>
          <w:kern w:val="0"/>
          <w:sz w:val="21"/>
        </w:rPr>
      </w:pPr>
      <w:r>
        <w:rPr>
          <w:rFonts w:hint="eastAsia" w:asciiTheme="minorAscii" w:hAnsiTheme="minorAscii" w:eastAsiaTheme="minorEastAsia"/>
          <w:snapToGrid w:val="0"/>
          <w:kern w:val="0"/>
          <w:sz w:val="21"/>
        </w:rPr>
        <w:br w:type="page"/>
      </w:r>
    </w:p>
    <w:p>
      <w:pPr>
        <w:keepNext w:val="0"/>
        <w:keepLines w:val="0"/>
        <w:pageBreakBefore w:val="0"/>
        <w:widowControl w:val="0"/>
        <w:kinsoku/>
        <w:wordWrap/>
        <w:overflowPunct/>
        <w:topLinePunct w:val="0"/>
        <w:autoSpaceDE/>
        <w:autoSpaceDN/>
        <w:bidi w:val="0"/>
        <w:adjustRightInd/>
        <w:snapToGrid/>
        <w:spacing w:after="157" w:afterLines="50" w:line="580" w:lineRule="exact"/>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rPr>
        <w:t>附表3</w:t>
      </w:r>
      <w:r>
        <w:rPr>
          <w:rFonts w:hint="eastAsia" w:ascii="黑体" w:hAnsi="Times New Roman" w:eastAsia="黑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jc w:val="center"/>
        <w:rPr>
          <w:rFonts w:hint="eastAsia" w:ascii="方正大标宋简体" w:hAnsi="仿宋" w:eastAsia="方正大标宋简体" w:cs="仿宋"/>
          <w:color w:val="auto"/>
          <w:spacing w:val="-17"/>
          <w:kern w:val="2"/>
          <w:sz w:val="44"/>
          <w:szCs w:val="44"/>
          <w:lang w:val="en-US" w:eastAsia="zh-CN" w:bidi="ar-SA"/>
        </w:rPr>
      </w:pPr>
      <w:r>
        <w:rPr>
          <w:rFonts w:hint="eastAsia" w:ascii="方正大标宋简体" w:hAnsi="仿宋" w:eastAsia="方正大标宋简体" w:cs="仿宋"/>
          <w:color w:val="auto"/>
          <w:spacing w:val="-17"/>
          <w:kern w:val="2"/>
          <w:sz w:val="44"/>
          <w:szCs w:val="44"/>
          <w:lang w:val="en-US" w:eastAsia="zh-CN" w:bidi="ar-SA"/>
        </w:rPr>
        <w:t>淅川县2023年政府性基金预算收支完成情况表</w:t>
      </w:r>
    </w:p>
    <w:p>
      <w:pPr>
        <w:keepNext w:val="0"/>
        <w:keepLines w:val="0"/>
        <w:pageBreakBefore w:val="0"/>
        <w:widowControl w:val="0"/>
        <w:kinsoku/>
        <w:wordWrap/>
        <w:overflowPunct/>
        <w:topLinePunct w:val="0"/>
        <w:autoSpaceDE/>
        <w:autoSpaceDN/>
        <w:bidi w:val="0"/>
        <w:adjustRightInd/>
        <w:spacing w:line="580" w:lineRule="exact"/>
        <w:jc w:val="right"/>
        <w:rPr>
          <w:rFonts w:hint="eastAsia" w:ascii="方正大标宋简体" w:hAnsi="仿宋" w:eastAsia="方正大标宋简体" w:cs="仿宋"/>
          <w:color w:val="auto"/>
          <w:spacing w:val="-17"/>
          <w:kern w:val="2"/>
          <w:sz w:val="44"/>
          <w:szCs w:val="44"/>
          <w:lang w:val="en-US" w:eastAsia="zh-CN" w:bidi="ar-SA"/>
        </w:rPr>
      </w:pPr>
      <w:r>
        <w:rPr>
          <w:rFonts w:hint="eastAsia" w:ascii="楷体_GB2312" w:hAnsi="宋体" w:eastAsia="楷体_GB2312" w:cs="Times New Roman"/>
          <w:b/>
          <w:color w:val="auto"/>
          <w:spacing w:val="0"/>
          <w:kern w:val="0"/>
          <w:sz w:val="24"/>
          <w:lang w:val="en-US" w:eastAsia="zh-CN" w:bidi="ar-SA"/>
        </w:rPr>
        <w:t>单位：万元</w:t>
      </w:r>
    </w:p>
    <w:tbl>
      <w:tblPr>
        <w:tblStyle w:val="8"/>
        <w:tblW w:w="9086" w:type="dxa"/>
        <w:tblInd w:w="0" w:type="dxa"/>
        <w:tblLayout w:type="fixed"/>
        <w:tblCellMar>
          <w:top w:w="0" w:type="dxa"/>
          <w:left w:w="108" w:type="dxa"/>
          <w:bottom w:w="0" w:type="dxa"/>
          <w:right w:w="108" w:type="dxa"/>
        </w:tblCellMar>
      </w:tblPr>
      <w:tblGrid>
        <w:gridCol w:w="3842"/>
        <w:gridCol w:w="1134"/>
        <w:gridCol w:w="2976"/>
        <w:gridCol w:w="1134"/>
      </w:tblGrid>
      <w:tr>
        <w:tblPrEx>
          <w:tblCellMar>
            <w:top w:w="0" w:type="dxa"/>
            <w:left w:w="108" w:type="dxa"/>
            <w:bottom w:w="0" w:type="dxa"/>
            <w:right w:w="108" w:type="dxa"/>
          </w:tblCellMar>
        </w:tblPrEx>
        <w:trPr>
          <w:trHeight w:val="850"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rPr>
              <w:t>项    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rPr>
              <w:t>收</w:t>
            </w:r>
            <w:r>
              <w:rPr>
                <w:rFonts w:hint="eastAsia" w:ascii="黑体" w:hAnsi="宋体" w:eastAsia="黑体" w:cs="宋体"/>
                <w:color w:val="auto"/>
                <w:spacing w:val="0"/>
                <w:kern w:val="0"/>
                <w:sz w:val="24"/>
                <w:szCs w:val="24"/>
                <w:lang w:val="en-US" w:eastAsia="zh-CN"/>
              </w:rPr>
              <w:t xml:space="preserve">  </w:t>
            </w:r>
            <w:r>
              <w:rPr>
                <w:rFonts w:hint="eastAsia" w:ascii="黑体" w:hAnsi="宋体" w:eastAsia="黑体" w:cs="宋体"/>
                <w:color w:val="auto"/>
                <w:spacing w:val="0"/>
                <w:kern w:val="0"/>
                <w:sz w:val="24"/>
                <w:szCs w:val="24"/>
              </w:rPr>
              <w:t>入</w:t>
            </w:r>
          </w:p>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rPr>
              <w:t>完成数</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rPr>
              <w:t>项    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rPr>
              <w:t>支</w:t>
            </w:r>
            <w:r>
              <w:rPr>
                <w:rFonts w:hint="eastAsia" w:ascii="黑体" w:hAnsi="宋体" w:eastAsia="黑体" w:cs="宋体"/>
                <w:color w:val="auto"/>
                <w:spacing w:val="0"/>
                <w:kern w:val="0"/>
                <w:sz w:val="24"/>
                <w:szCs w:val="24"/>
                <w:lang w:val="en-US" w:eastAsia="zh-CN"/>
              </w:rPr>
              <w:t xml:space="preserve">  </w:t>
            </w:r>
            <w:r>
              <w:rPr>
                <w:rFonts w:hint="eastAsia" w:ascii="黑体" w:hAnsi="宋体" w:eastAsia="黑体" w:cs="宋体"/>
                <w:color w:val="auto"/>
                <w:spacing w:val="0"/>
                <w:kern w:val="0"/>
                <w:sz w:val="24"/>
                <w:szCs w:val="24"/>
              </w:rPr>
              <w:t>出</w:t>
            </w:r>
          </w:p>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rPr>
              <w:t>完成数</w:t>
            </w:r>
          </w:p>
        </w:tc>
      </w:tr>
      <w:tr>
        <w:tblPrEx>
          <w:tblCellMar>
            <w:top w:w="0" w:type="dxa"/>
            <w:left w:w="108" w:type="dxa"/>
            <w:bottom w:w="0" w:type="dxa"/>
            <w:right w:w="108" w:type="dxa"/>
          </w:tblCellMar>
        </w:tblPrEx>
        <w:trPr>
          <w:trHeight w:val="850" w:hRule="exact"/>
        </w:trPr>
        <w:tc>
          <w:tcPr>
            <w:tcW w:w="3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仿宋_GB2312" w:hAnsi="仿宋_GB2312" w:eastAsia="仿宋_GB2312" w:cs="仿宋_GB2312"/>
                <w:b/>
                <w:color w:val="auto"/>
                <w:spacing w:val="0"/>
                <w:kern w:val="0"/>
                <w:sz w:val="24"/>
                <w:szCs w:val="24"/>
              </w:rPr>
            </w:pPr>
            <w:r>
              <w:rPr>
                <w:rFonts w:hint="eastAsia" w:ascii="仿宋_GB2312" w:hAnsi="仿宋_GB2312" w:eastAsia="仿宋_GB2312" w:cs="仿宋_GB2312"/>
                <w:b/>
                <w:color w:val="auto"/>
                <w:spacing w:val="0"/>
                <w:kern w:val="0"/>
                <w:sz w:val="24"/>
                <w:szCs w:val="24"/>
                <w:lang w:bidi="ar"/>
              </w:rPr>
              <w:t>政府性基金预算收入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b/>
                <w:color w:val="auto"/>
                <w:spacing w:val="0"/>
                <w:kern w:val="0"/>
                <w:sz w:val="24"/>
                <w:szCs w:val="24"/>
                <w:lang w:val="en-US" w:eastAsia="zh-CN"/>
              </w:rPr>
            </w:pPr>
            <w:r>
              <w:rPr>
                <w:rFonts w:hint="eastAsia" w:ascii="仿宋_GB2312" w:hAnsi="仿宋_GB2312" w:eastAsia="仿宋_GB2312" w:cs="仿宋_GB2312"/>
                <w:b/>
                <w:color w:val="auto"/>
                <w:spacing w:val="0"/>
                <w:kern w:val="0"/>
                <w:sz w:val="24"/>
                <w:szCs w:val="24"/>
                <w:lang w:val="en-US" w:eastAsia="zh-CN"/>
              </w:rPr>
              <w:t>146240</w:t>
            </w:r>
          </w:p>
        </w:tc>
        <w:tc>
          <w:tcPr>
            <w:tcW w:w="29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仿宋_GB2312" w:hAnsi="仿宋_GB2312" w:eastAsia="仿宋_GB2312" w:cs="仿宋_GB2312"/>
                <w:b/>
                <w:color w:val="auto"/>
                <w:spacing w:val="0"/>
                <w:kern w:val="0"/>
                <w:sz w:val="24"/>
                <w:szCs w:val="24"/>
              </w:rPr>
            </w:pPr>
            <w:r>
              <w:rPr>
                <w:rFonts w:hint="eastAsia" w:ascii="仿宋_GB2312" w:hAnsi="仿宋_GB2312" w:eastAsia="仿宋_GB2312" w:cs="仿宋_GB2312"/>
                <w:b/>
                <w:color w:val="auto"/>
                <w:spacing w:val="0"/>
                <w:kern w:val="0"/>
                <w:sz w:val="24"/>
                <w:szCs w:val="24"/>
                <w:lang w:bidi="ar"/>
              </w:rPr>
              <w:t>政府性基金预算支出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b/>
                <w:color w:val="auto"/>
                <w:spacing w:val="0"/>
                <w:kern w:val="0"/>
                <w:sz w:val="24"/>
                <w:szCs w:val="24"/>
                <w:lang w:val="en-US"/>
              </w:rPr>
            </w:pPr>
            <w:r>
              <w:rPr>
                <w:rFonts w:hint="eastAsia" w:ascii="仿宋_GB2312" w:hAnsi="仿宋_GB2312" w:eastAsia="仿宋_GB2312" w:cs="仿宋_GB2312"/>
                <w:b/>
                <w:color w:val="auto"/>
                <w:spacing w:val="0"/>
                <w:kern w:val="0"/>
                <w:sz w:val="24"/>
                <w:szCs w:val="24"/>
                <w:lang w:val="en-US" w:eastAsia="zh-CN" w:bidi="ar"/>
              </w:rPr>
              <w:t>229421</w:t>
            </w:r>
          </w:p>
        </w:tc>
      </w:tr>
      <w:tr>
        <w:tblPrEx>
          <w:tblCellMar>
            <w:top w:w="0" w:type="dxa"/>
            <w:left w:w="108" w:type="dxa"/>
            <w:bottom w:w="0" w:type="dxa"/>
            <w:right w:w="108" w:type="dxa"/>
          </w:tblCellMar>
        </w:tblPrEx>
        <w:trPr>
          <w:trHeight w:val="850" w:hRule="exact"/>
        </w:trPr>
        <w:tc>
          <w:tcPr>
            <w:tcW w:w="3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一、国家电影事业发展专项资金收入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eastAsia" w:ascii="仿宋_GB2312" w:hAnsi="仿宋_GB2312" w:eastAsia="仿宋_GB2312" w:cs="仿宋_GB2312"/>
                <w:color w:val="auto"/>
                <w:spacing w:val="0"/>
                <w:kern w:val="0"/>
                <w:sz w:val="24"/>
                <w:szCs w:val="24"/>
              </w:rPr>
            </w:pPr>
          </w:p>
        </w:tc>
        <w:tc>
          <w:tcPr>
            <w:tcW w:w="297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一、国家电影事业发展专项资金安排的支出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21</w:t>
            </w:r>
          </w:p>
        </w:tc>
      </w:tr>
      <w:tr>
        <w:tblPrEx>
          <w:tblCellMar>
            <w:top w:w="0" w:type="dxa"/>
            <w:left w:w="108" w:type="dxa"/>
            <w:bottom w:w="0" w:type="dxa"/>
            <w:right w:w="108" w:type="dxa"/>
          </w:tblCellMar>
        </w:tblPrEx>
        <w:trPr>
          <w:trHeight w:val="850" w:hRule="exact"/>
        </w:trPr>
        <w:tc>
          <w:tcPr>
            <w:tcW w:w="3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二</w:t>
            </w:r>
            <w:r>
              <w:rPr>
                <w:rFonts w:hint="eastAsia" w:ascii="仿宋_GB2312" w:hAnsi="仿宋_GB2312" w:eastAsia="仿宋_GB2312" w:cs="仿宋_GB2312"/>
                <w:color w:val="auto"/>
                <w:spacing w:val="0"/>
                <w:kern w:val="0"/>
                <w:sz w:val="24"/>
                <w:szCs w:val="24"/>
                <w:lang w:bidi="ar"/>
              </w:rPr>
              <w:t>、大中型水库移民后期扶持基金收入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eastAsia" w:ascii="仿宋_GB2312" w:hAnsi="仿宋_GB2312" w:eastAsia="仿宋_GB2312" w:cs="仿宋_GB2312"/>
                <w:color w:val="auto"/>
                <w:spacing w:val="0"/>
                <w:kern w:val="0"/>
                <w:sz w:val="24"/>
                <w:szCs w:val="24"/>
                <w:lang w:val="en-US" w:eastAsia="zh-CN" w:bidi="ar-SA"/>
              </w:rPr>
            </w:pPr>
          </w:p>
        </w:tc>
        <w:tc>
          <w:tcPr>
            <w:tcW w:w="297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二</w:t>
            </w:r>
            <w:r>
              <w:rPr>
                <w:rFonts w:hint="eastAsia" w:ascii="仿宋_GB2312" w:hAnsi="仿宋_GB2312" w:eastAsia="仿宋_GB2312" w:cs="仿宋_GB2312"/>
                <w:color w:val="auto"/>
                <w:spacing w:val="0"/>
                <w:kern w:val="0"/>
                <w:sz w:val="24"/>
                <w:szCs w:val="24"/>
                <w:lang w:bidi="ar"/>
              </w:rPr>
              <w:t>、大中型水库移民后期扶持基金支出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6582</w:t>
            </w:r>
          </w:p>
        </w:tc>
      </w:tr>
      <w:tr>
        <w:tblPrEx>
          <w:tblCellMar>
            <w:top w:w="0" w:type="dxa"/>
            <w:left w:w="108" w:type="dxa"/>
            <w:bottom w:w="0" w:type="dxa"/>
            <w:right w:w="108" w:type="dxa"/>
          </w:tblCellMar>
        </w:tblPrEx>
        <w:trPr>
          <w:trHeight w:val="850" w:hRule="exact"/>
        </w:trPr>
        <w:tc>
          <w:tcPr>
            <w:tcW w:w="3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480" w:lineRule="exact"/>
              <w:jc w:val="left"/>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val="en-US" w:eastAsia="zh-CN" w:bidi="ar"/>
              </w:rPr>
              <w:t>三</w:t>
            </w:r>
            <w:r>
              <w:rPr>
                <w:rFonts w:hint="eastAsia" w:ascii="仿宋_GB2312" w:hAnsi="仿宋_GB2312" w:eastAsia="仿宋_GB2312" w:cs="仿宋_GB2312"/>
                <w:color w:val="auto"/>
                <w:spacing w:val="0"/>
                <w:kern w:val="0"/>
                <w:sz w:val="24"/>
                <w:szCs w:val="24"/>
                <w:lang w:bidi="ar"/>
              </w:rPr>
              <w:t>、大中型水库库区基金相关收入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480" w:lineRule="exact"/>
              <w:jc w:val="center"/>
              <w:rPr>
                <w:rFonts w:hint="eastAsia" w:ascii="仿宋_GB2312" w:hAnsi="仿宋_GB2312" w:eastAsia="仿宋_GB2312" w:cs="仿宋_GB2312"/>
                <w:color w:val="auto"/>
                <w:spacing w:val="0"/>
                <w:kern w:val="0"/>
                <w:sz w:val="24"/>
                <w:szCs w:val="24"/>
              </w:rPr>
            </w:pPr>
          </w:p>
        </w:tc>
        <w:tc>
          <w:tcPr>
            <w:tcW w:w="297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三、小型水库移民扶助基金安排的支出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100</w:t>
            </w:r>
          </w:p>
        </w:tc>
      </w:tr>
      <w:tr>
        <w:tblPrEx>
          <w:tblCellMar>
            <w:top w:w="0" w:type="dxa"/>
            <w:left w:w="108" w:type="dxa"/>
            <w:bottom w:w="0" w:type="dxa"/>
            <w:right w:w="108" w:type="dxa"/>
          </w:tblCellMar>
        </w:tblPrEx>
        <w:trPr>
          <w:trHeight w:val="850" w:hRule="exact"/>
        </w:trPr>
        <w:tc>
          <w:tcPr>
            <w:tcW w:w="3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eastAsia="zh-CN" w:bidi="ar"/>
              </w:rPr>
              <w:t>四</w:t>
            </w:r>
            <w:r>
              <w:rPr>
                <w:rFonts w:hint="eastAsia" w:ascii="仿宋_GB2312" w:hAnsi="仿宋_GB2312" w:eastAsia="仿宋_GB2312" w:cs="仿宋_GB2312"/>
                <w:color w:val="auto"/>
                <w:spacing w:val="0"/>
                <w:kern w:val="0"/>
                <w:sz w:val="24"/>
                <w:szCs w:val="24"/>
                <w:lang w:bidi="ar"/>
              </w:rPr>
              <w:t>、城市基础设施配套费收入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10643</w:t>
            </w:r>
          </w:p>
        </w:tc>
        <w:tc>
          <w:tcPr>
            <w:tcW w:w="297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四、国有土地使用权出让收入安排的支出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78200</w:t>
            </w:r>
          </w:p>
        </w:tc>
      </w:tr>
      <w:tr>
        <w:tblPrEx>
          <w:tblCellMar>
            <w:top w:w="0" w:type="dxa"/>
            <w:left w:w="108" w:type="dxa"/>
            <w:bottom w:w="0" w:type="dxa"/>
            <w:right w:w="108" w:type="dxa"/>
          </w:tblCellMar>
        </w:tblPrEx>
        <w:trPr>
          <w:trHeight w:val="850" w:hRule="exact"/>
        </w:trPr>
        <w:tc>
          <w:tcPr>
            <w:tcW w:w="3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eastAsia="zh-CN" w:bidi="ar"/>
              </w:rPr>
              <w:t>五</w:t>
            </w:r>
            <w:r>
              <w:rPr>
                <w:rFonts w:hint="eastAsia" w:ascii="仿宋_GB2312" w:hAnsi="仿宋_GB2312" w:eastAsia="仿宋_GB2312" w:cs="仿宋_GB2312"/>
                <w:color w:val="auto"/>
                <w:spacing w:val="0"/>
                <w:kern w:val="0"/>
                <w:sz w:val="24"/>
                <w:szCs w:val="24"/>
                <w:lang w:bidi="ar"/>
              </w:rPr>
              <w:t>、国有土地使用权出让收入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131535</w:t>
            </w:r>
          </w:p>
        </w:tc>
        <w:tc>
          <w:tcPr>
            <w:tcW w:w="297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五、棚户区改造专项债券收入安排的支出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80000</w:t>
            </w:r>
          </w:p>
        </w:tc>
      </w:tr>
      <w:tr>
        <w:tblPrEx>
          <w:tblCellMar>
            <w:top w:w="0" w:type="dxa"/>
            <w:left w:w="108" w:type="dxa"/>
            <w:bottom w:w="0" w:type="dxa"/>
            <w:right w:w="108" w:type="dxa"/>
          </w:tblCellMar>
        </w:tblPrEx>
        <w:trPr>
          <w:trHeight w:val="850" w:hRule="exact"/>
        </w:trPr>
        <w:tc>
          <w:tcPr>
            <w:tcW w:w="3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lang w:eastAsia="zh-CN" w:bidi="ar"/>
              </w:rPr>
            </w:pPr>
            <w:r>
              <w:rPr>
                <w:rFonts w:hint="eastAsia" w:ascii="仿宋_GB2312" w:hAnsi="仿宋_GB2312" w:eastAsia="仿宋_GB2312" w:cs="仿宋_GB2312"/>
                <w:color w:val="auto"/>
                <w:spacing w:val="0"/>
                <w:kern w:val="0"/>
                <w:sz w:val="24"/>
                <w:szCs w:val="24"/>
                <w:lang w:eastAsia="zh-CN" w:bidi="ar"/>
              </w:rPr>
              <w:t>六</w:t>
            </w:r>
            <w:r>
              <w:rPr>
                <w:rFonts w:hint="eastAsia" w:ascii="仿宋_GB2312" w:hAnsi="仿宋_GB2312" w:eastAsia="仿宋_GB2312" w:cs="仿宋_GB2312"/>
                <w:color w:val="auto"/>
                <w:spacing w:val="0"/>
                <w:kern w:val="0"/>
                <w:sz w:val="24"/>
                <w:szCs w:val="24"/>
                <w:lang w:bidi="ar"/>
              </w:rPr>
              <w:t>、农业土地开发资金收入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942</w:t>
            </w:r>
          </w:p>
        </w:tc>
        <w:tc>
          <w:tcPr>
            <w:tcW w:w="297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六、国有土地收益基金相关支出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470</w:t>
            </w:r>
          </w:p>
        </w:tc>
      </w:tr>
      <w:tr>
        <w:tblPrEx>
          <w:tblCellMar>
            <w:top w:w="0" w:type="dxa"/>
            <w:left w:w="108" w:type="dxa"/>
            <w:bottom w:w="0" w:type="dxa"/>
            <w:right w:w="108" w:type="dxa"/>
          </w:tblCellMar>
        </w:tblPrEx>
        <w:trPr>
          <w:trHeight w:val="850" w:hRule="exact"/>
        </w:trPr>
        <w:tc>
          <w:tcPr>
            <w:tcW w:w="3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val="en-US" w:eastAsia="zh-CN" w:bidi="ar"/>
              </w:rPr>
              <w:t>七</w:t>
            </w:r>
            <w:r>
              <w:rPr>
                <w:rFonts w:hint="eastAsia" w:ascii="仿宋_GB2312" w:hAnsi="仿宋_GB2312" w:eastAsia="仿宋_GB2312" w:cs="仿宋_GB2312"/>
                <w:color w:val="auto"/>
                <w:spacing w:val="0"/>
                <w:kern w:val="0"/>
                <w:sz w:val="24"/>
                <w:szCs w:val="24"/>
                <w:lang w:bidi="ar"/>
              </w:rPr>
              <w:t>、国有土地收益基金收入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2225</w:t>
            </w:r>
          </w:p>
        </w:tc>
        <w:tc>
          <w:tcPr>
            <w:tcW w:w="297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eastAsia="zh-CN" w:bidi="ar"/>
              </w:rPr>
              <w:t>七</w:t>
            </w:r>
            <w:r>
              <w:rPr>
                <w:rFonts w:hint="eastAsia" w:ascii="仿宋_GB2312" w:hAnsi="仿宋_GB2312" w:eastAsia="仿宋_GB2312" w:cs="仿宋_GB2312"/>
                <w:color w:val="auto"/>
                <w:spacing w:val="0"/>
                <w:kern w:val="0"/>
                <w:sz w:val="24"/>
                <w:szCs w:val="24"/>
                <w:lang w:bidi="ar"/>
              </w:rPr>
              <w:t>、彩票公益金安排的支出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bidi="ar"/>
              </w:rPr>
              <w:t>979</w:t>
            </w:r>
          </w:p>
        </w:tc>
      </w:tr>
      <w:tr>
        <w:tblPrEx>
          <w:tblCellMar>
            <w:top w:w="0" w:type="dxa"/>
            <w:left w:w="108" w:type="dxa"/>
            <w:bottom w:w="0" w:type="dxa"/>
            <w:right w:w="108" w:type="dxa"/>
          </w:tblCellMar>
        </w:tblPrEx>
        <w:trPr>
          <w:trHeight w:val="850" w:hRule="exact"/>
        </w:trPr>
        <w:tc>
          <w:tcPr>
            <w:tcW w:w="3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val="en-US" w:eastAsia="zh-CN" w:bidi="ar"/>
              </w:rPr>
              <w:t>八</w:t>
            </w:r>
            <w:r>
              <w:rPr>
                <w:rFonts w:hint="eastAsia" w:ascii="仿宋_GB2312" w:hAnsi="仿宋_GB2312" w:eastAsia="仿宋_GB2312" w:cs="仿宋_GB2312"/>
                <w:color w:val="auto"/>
                <w:spacing w:val="0"/>
                <w:kern w:val="0"/>
                <w:sz w:val="24"/>
                <w:szCs w:val="24"/>
                <w:lang w:bidi="ar"/>
              </w:rPr>
              <w:t>、彩票公益金收入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default" w:ascii="仿宋_GB2312" w:hAnsi="仿宋_GB2312" w:eastAsia="仿宋_GB2312" w:cs="仿宋_GB2312"/>
                <w:color w:val="auto"/>
                <w:spacing w:val="0"/>
                <w:kern w:val="0"/>
                <w:sz w:val="24"/>
                <w:szCs w:val="24"/>
                <w:lang w:val="en-US" w:eastAsia="zh-CN"/>
              </w:rPr>
            </w:pPr>
          </w:p>
        </w:tc>
        <w:tc>
          <w:tcPr>
            <w:tcW w:w="2976"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val="en-US" w:eastAsia="zh-CN" w:bidi="ar"/>
              </w:rPr>
              <w:t>八、大中型水库库区基金安排的支出</w:t>
            </w:r>
          </w:p>
        </w:tc>
        <w:tc>
          <w:tcPr>
            <w:tcW w:w="1134"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rPr>
              <w:t>121</w:t>
            </w:r>
          </w:p>
        </w:tc>
      </w:tr>
      <w:tr>
        <w:tblPrEx>
          <w:tblCellMar>
            <w:top w:w="0" w:type="dxa"/>
            <w:left w:w="108" w:type="dxa"/>
            <w:bottom w:w="0" w:type="dxa"/>
            <w:right w:w="108" w:type="dxa"/>
          </w:tblCellMar>
        </w:tblPrEx>
        <w:trPr>
          <w:trHeight w:val="850"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val="en-US" w:eastAsia="zh-CN" w:bidi="ar"/>
              </w:rPr>
              <w:t>九</w:t>
            </w:r>
            <w:r>
              <w:rPr>
                <w:rFonts w:hint="eastAsia" w:ascii="仿宋_GB2312" w:hAnsi="仿宋_GB2312" w:eastAsia="仿宋_GB2312" w:cs="仿宋_GB2312"/>
                <w:color w:val="auto"/>
                <w:spacing w:val="0"/>
                <w:kern w:val="0"/>
                <w:sz w:val="24"/>
                <w:szCs w:val="24"/>
                <w:lang w:bidi="ar"/>
              </w:rPr>
              <w:t>、 污水处理费收入</w:t>
            </w:r>
          </w:p>
        </w:tc>
        <w:tc>
          <w:tcPr>
            <w:tcW w:w="1134"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val="en-US" w:eastAsia="zh-CN" w:bidi="ar"/>
              </w:rPr>
              <w:t>895</w:t>
            </w:r>
            <w:r>
              <w:rPr>
                <w:rFonts w:hint="eastAsia" w:ascii="仿宋_GB2312" w:hAnsi="仿宋_GB2312" w:eastAsia="仿宋_GB2312" w:cs="仿宋_GB2312"/>
                <w:color w:val="auto"/>
                <w:spacing w:val="0"/>
                <w:kern w:val="0"/>
                <w:sz w:val="24"/>
                <w:szCs w:val="24"/>
                <w:lang w:bidi="ar"/>
              </w:rPr>
              <w:t xml:space="preserve"> </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eastAsia="zh-CN" w:bidi="ar"/>
              </w:rPr>
              <w:t>九</w:t>
            </w:r>
            <w:r>
              <w:rPr>
                <w:rFonts w:hint="eastAsia" w:ascii="仿宋_GB2312" w:hAnsi="仿宋_GB2312" w:eastAsia="仿宋_GB2312" w:cs="仿宋_GB2312"/>
                <w:color w:val="auto"/>
                <w:spacing w:val="0"/>
                <w:kern w:val="0"/>
                <w:sz w:val="24"/>
                <w:szCs w:val="24"/>
                <w:lang w:bidi="ar"/>
              </w:rPr>
              <w:t>、其他政府性基金及对应专项债务收入安排的支出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bidi="ar"/>
              </w:rPr>
              <w:t>37900</w:t>
            </w:r>
          </w:p>
        </w:tc>
      </w:tr>
      <w:tr>
        <w:tblPrEx>
          <w:tblCellMar>
            <w:top w:w="0" w:type="dxa"/>
            <w:left w:w="108" w:type="dxa"/>
            <w:bottom w:w="0" w:type="dxa"/>
            <w:right w:w="108" w:type="dxa"/>
          </w:tblCellMar>
        </w:tblPrEx>
        <w:trPr>
          <w:trHeight w:val="850"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eastAsia="zh-CN" w:bidi="ar"/>
              </w:rPr>
              <w:t>十</w:t>
            </w:r>
            <w:r>
              <w:rPr>
                <w:rFonts w:hint="eastAsia" w:ascii="仿宋_GB2312" w:hAnsi="仿宋_GB2312" w:eastAsia="仿宋_GB2312" w:cs="仿宋_GB2312"/>
                <w:color w:val="auto"/>
                <w:spacing w:val="0"/>
                <w:kern w:val="0"/>
                <w:sz w:val="24"/>
                <w:szCs w:val="24"/>
                <w:lang w:bidi="ar"/>
              </w:rPr>
              <w:t>、其他政府性基金相关收入</w:t>
            </w:r>
          </w:p>
        </w:tc>
        <w:tc>
          <w:tcPr>
            <w:tcW w:w="1134"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jc w:val="center"/>
              <w:rPr>
                <w:rFonts w:hint="eastAsia" w:ascii="仿宋_GB2312" w:hAnsi="仿宋_GB2312" w:eastAsia="仿宋_GB2312" w:cs="仿宋_GB2312"/>
                <w:color w:val="auto"/>
                <w:spacing w:val="0"/>
                <w:kern w:val="0"/>
                <w:sz w:val="24"/>
                <w:szCs w:val="24"/>
              </w:rPr>
            </w:pP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仿宋_GB2312" w:hAnsi="仿宋_GB2312" w:eastAsia="仿宋_GB2312" w:cs="仿宋_GB2312"/>
                <w:color w:val="auto"/>
                <w:spacing w:val="0"/>
                <w:kern w:val="0"/>
                <w:sz w:val="24"/>
                <w:szCs w:val="24"/>
                <w:lang w:eastAsia="zh-CN" w:bidi="ar"/>
              </w:rPr>
            </w:pPr>
            <w:r>
              <w:rPr>
                <w:rFonts w:hint="eastAsia" w:ascii="仿宋_GB2312" w:hAnsi="仿宋_GB2312" w:eastAsia="仿宋_GB2312" w:cs="仿宋_GB2312"/>
                <w:color w:val="auto"/>
                <w:spacing w:val="0"/>
                <w:kern w:val="0"/>
                <w:sz w:val="24"/>
                <w:szCs w:val="24"/>
                <w:lang w:eastAsia="zh-CN" w:bidi="ar"/>
              </w:rPr>
              <w:t>十、地方政府专项债务付息支出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25048</w:t>
            </w:r>
          </w:p>
        </w:tc>
      </w:tr>
    </w:tbl>
    <w:p>
      <w:pPr>
        <w:keepNext w:val="0"/>
        <w:keepLines w:val="0"/>
        <w:pageBreakBefore w:val="0"/>
        <w:kinsoku/>
        <w:wordWrap/>
        <w:overflowPunct/>
        <w:topLinePunct w:val="0"/>
        <w:autoSpaceDE/>
        <w:autoSpaceDN/>
        <w:bidi w:val="0"/>
        <w:adjustRightInd/>
        <w:snapToGrid w:val="0"/>
        <w:ind w:firstLine="482" w:firstLineChars="200"/>
        <w:rPr>
          <w:rFonts w:hint="eastAsia" w:ascii="仿宋_GB2312" w:hAnsi="宋体" w:eastAsia="仿宋_GB2312" w:cs="Times New Roman"/>
          <w:b/>
          <w:color w:val="auto"/>
          <w:spacing w:val="0"/>
          <w:sz w:val="24"/>
          <w:szCs w:val="24"/>
          <w:lang w:eastAsia="zh-CN"/>
        </w:rPr>
      </w:pPr>
      <w:r>
        <w:rPr>
          <w:rFonts w:hint="eastAsia" w:ascii="仿宋_GB2312" w:hAnsi="宋体" w:eastAsia="仿宋_GB2312" w:cs="Times New Roman"/>
          <w:b/>
          <w:color w:val="auto"/>
          <w:spacing w:val="0"/>
          <w:sz w:val="24"/>
          <w:szCs w:val="24"/>
        </w:rPr>
        <w:t>注：20</w:t>
      </w:r>
      <w:r>
        <w:rPr>
          <w:rFonts w:hint="eastAsia" w:ascii="仿宋_GB2312" w:hAnsi="宋体" w:eastAsia="仿宋_GB2312" w:cs="Times New Roman"/>
          <w:b/>
          <w:color w:val="auto"/>
          <w:spacing w:val="0"/>
          <w:sz w:val="24"/>
          <w:szCs w:val="24"/>
          <w:lang w:val="en-US" w:eastAsia="zh-CN"/>
        </w:rPr>
        <w:t>23</w:t>
      </w:r>
      <w:r>
        <w:rPr>
          <w:rFonts w:hint="eastAsia" w:ascii="仿宋_GB2312" w:hAnsi="宋体" w:eastAsia="仿宋_GB2312" w:cs="Times New Roman"/>
          <w:b/>
          <w:color w:val="auto"/>
          <w:spacing w:val="0"/>
          <w:sz w:val="24"/>
          <w:szCs w:val="24"/>
        </w:rPr>
        <w:t>年政府性基金预算支出资金来源包括政府性基金预算本级收入、上级转移支付和地方政府专项债券资金。</w:t>
      </w:r>
    </w:p>
    <w:p>
      <w:pPr>
        <w:rPr>
          <w:rFonts w:hint="eastAsia" w:asciiTheme="minorAscii" w:hAnsiTheme="minorAscii" w:eastAsiaTheme="minorEastAsia"/>
          <w:snapToGrid w:val="0"/>
          <w:kern w:val="0"/>
          <w:sz w:val="21"/>
        </w:rPr>
      </w:pPr>
      <w:r>
        <w:rPr>
          <w:rFonts w:hint="eastAsia" w:asciiTheme="minorAscii" w:hAnsiTheme="minorAscii" w:eastAsiaTheme="minorEastAsia"/>
          <w:snapToGrid w:val="0"/>
          <w:kern w:val="0"/>
          <w:sz w:val="21"/>
        </w:rPr>
        <w:br w:type="page"/>
      </w:r>
    </w:p>
    <w:p>
      <w:pPr>
        <w:keepNext w:val="0"/>
        <w:keepLines w:val="0"/>
        <w:pageBreakBefore w:val="0"/>
        <w:widowControl w:val="0"/>
        <w:kinsoku/>
        <w:wordWrap/>
        <w:overflowPunct/>
        <w:topLinePunct w:val="0"/>
        <w:autoSpaceDE/>
        <w:autoSpaceDN/>
        <w:bidi w:val="0"/>
        <w:adjustRightInd/>
        <w:snapToGrid/>
        <w:spacing w:after="157" w:afterLines="50" w:line="580" w:lineRule="exact"/>
        <w:jc w:val="both"/>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rPr>
        <w:t>附表4</w:t>
      </w:r>
      <w:r>
        <w:rPr>
          <w:rFonts w:hint="eastAsia" w:ascii="黑体" w:hAnsi="Times New Roman" w:eastAsia="黑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jc w:val="both"/>
        <w:rPr>
          <w:rFonts w:hint="eastAsia" w:ascii="方正大标宋简体" w:hAnsi="仿宋" w:eastAsia="方正大标宋简体" w:cs="仿宋"/>
          <w:color w:val="auto"/>
          <w:spacing w:val="-17"/>
          <w:kern w:val="2"/>
          <w:sz w:val="44"/>
          <w:lang w:val="en-US" w:eastAsia="zh-CN" w:bidi="ar-SA"/>
        </w:rPr>
      </w:pPr>
      <w:r>
        <w:rPr>
          <w:rFonts w:hint="eastAsia" w:ascii="方正大标宋简体" w:hAnsi="仿宋" w:eastAsia="方正大标宋简体" w:cs="仿宋"/>
          <w:color w:val="auto"/>
          <w:spacing w:val="-23"/>
          <w:kern w:val="2"/>
          <w:sz w:val="44"/>
          <w:lang w:val="en-US" w:eastAsia="zh-CN" w:bidi="ar-SA"/>
        </w:rPr>
        <w:t>淅川县2023年国有资本经营预算收支完成情况表</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宋体" w:eastAsia="楷体_GB2312" w:cs="Times New Roman"/>
          <w:b/>
          <w:color w:val="auto"/>
          <w:spacing w:val="0"/>
          <w:kern w:val="0"/>
          <w:sz w:val="24"/>
        </w:rPr>
      </w:pPr>
      <w:r>
        <w:rPr>
          <w:rFonts w:hint="eastAsia" w:ascii="楷体_GB2312" w:hAnsi="宋体" w:eastAsia="楷体_GB2312" w:cs="Times New Roman"/>
          <w:b/>
          <w:color w:val="auto"/>
          <w:spacing w:val="0"/>
          <w:kern w:val="0"/>
          <w:sz w:val="24"/>
        </w:rPr>
        <w:t>单位：万元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2198"/>
        <w:gridCol w:w="238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219" w:type="dxa"/>
            <w:gridSpan w:val="2"/>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收</w:t>
            </w:r>
            <w:r>
              <w:rPr>
                <w:rFonts w:hint="eastAsia" w:ascii="黑体" w:hAnsi="黑体" w:eastAsia="黑体" w:cs="黑体"/>
                <w:b w:val="0"/>
                <w:bCs w:val="0"/>
                <w:color w:val="auto"/>
                <w:kern w:val="0"/>
                <w:sz w:val="24"/>
                <w:szCs w:val="24"/>
                <w:lang w:val="en-US" w:eastAsia="zh-CN" w:bidi="ar"/>
              </w:rPr>
              <w:t xml:space="preserve">  </w:t>
            </w:r>
            <w:r>
              <w:rPr>
                <w:rFonts w:hint="eastAsia" w:ascii="黑体" w:hAnsi="黑体" w:eastAsia="黑体" w:cs="黑体"/>
                <w:b w:val="0"/>
                <w:bCs w:val="0"/>
                <w:color w:val="auto"/>
                <w:kern w:val="0"/>
                <w:sz w:val="24"/>
                <w:szCs w:val="24"/>
                <w:lang w:bidi="ar"/>
              </w:rPr>
              <w:t>入</w:t>
            </w:r>
          </w:p>
        </w:tc>
        <w:tc>
          <w:tcPr>
            <w:tcW w:w="4614" w:type="dxa"/>
            <w:gridSpan w:val="2"/>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支</w:t>
            </w:r>
            <w:r>
              <w:rPr>
                <w:rFonts w:hint="eastAsia" w:ascii="黑体" w:hAnsi="黑体" w:eastAsia="黑体" w:cs="黑体"/>
                <w:b w:val="0"/>
                <w:bCs w:val="0"/>
                <w:color w:val="auto"/>
                <w:kern w:val="0"/>
                <w:sz w:val="24"/>
                <w:szCs w:val="24"/>
                <w:lang w:val="en-US" w:eastAsia="zh-CN" w:bidi="ar"/>
              </w:rPr>
              <w:t xml:space="preserve">  </w:t>
            </w:r>
            <w:r>
              <w:rPr>
                <w:rFonts w:hint="eastAsia" w:ascii="黑体" w:hAnsi="黑体" w:eastAsia="黑体" w:cs="黑体"/>
                <w:b w:val="0"/>
                <w:bCs w:val="0"/>
                <w:color w:val="auto"/>
                <w:kern w:val="0"/>
                <w:sz w:val="24"/>
                <w:szCs w:val="24"/>
                <w:lang w:bidi="ar"/>
              </w:rPr>
              <w:t>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1" w:type="dxa"/>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预算科目</w:t>
            </w:r>
          </w:p>
        </w:tc>
        <w:tc>
          <w:tcPr>
            <w:tcW w:w="2198" w:type="dxa"/>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完成数</w:t>
            </w:r>
          </w:p>
        </w:tc>
        <w:tc>
          <w:tcPr>
            <w:tcW w:w="2382" w:type="dxa"/>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预算科目</w:t>
            </w:r>
          </w:p>
        </w:tc>
        <w:tc>
          <w:tcPr>
            <w:tcW w:w="2232" w:type="dxa"/>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完成数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1"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利润收入</w:t>
            </w:r>
          </w:p>
        </w:tc>
        <w:tc>
          <w:tcPr>
            <w:tcW w:w="2198"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382"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解决历史遗留问题及改革成本支出</w:t>
            </w:r>
          </w:p>
        </w:tc>
        <w:tc>
          <w:tcPr>
            <w:tcW w:w="2232" w:type="dxa"/>
            <w:noWrap w:val="0"/>
            <w:vAlign w:val="center"/>
          </w:tcPr>
          <w:p>
            <w:pPr>
              <w:adjustRightInd w:val="0"/>
              <w:snapToGrid w:val="0"/>
              <w:jc w:val="center"/>
              <w:rPr>
                <w:rFonts w:hint="default" w:ascii="黑体" w:hAnsi="Times New Roman" w:eastAsia="黑体" w:cs="Times New Roman"/>
                <w:color w:val="auto"/>
                <w:sz w:val="24"/>
                <w:szCs w:val="24"/>
                <w:lang w:val="en-US" w:eastAsia="zh-CN"/>
              </w:rPr>
            </w:pPr>
            <w:r>
              <w:rPr>
                <w:rFonts w:hint="eastAsia" w:ascii="仿宋_GB2312" w:hAnsi="仿宋_GB2312" w:eastAsia="仿宋_GB2312" w:cs="仿宋_GB2312"/>
                <w:color w:val="auto"/>
                <w:sz w:val="24"/>
                <w:szCs w:val="24"/>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1"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股利、股息收入</w:t>
            </w:r>
          </w:p>
        </w:tc>
        <w:tc>
          <w:tcPr>
            <w:tcW w:w="2198"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382"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国有企业资本金注入</w:t>
            </w:r>
          </w:p>
        </w:tc>
        <w:tc>
          <w:tcPr>
            <w:tcW w:w="2232" w:type="dxa"/>
            <w:noWrap w:val="0"/>
            <w:vAlign w:val="center"/>
          </w:tcPr>
          <w:p>
            <w:pPr>
              <w:adjustRightInd w:val="0"/>
              <w:snapToGrid w:val="0"/>
              <w:jc w:val="center"/>
              <w:rPr>
                <w:rFonts w:hint="eastAsia" w:ascii="黑体" w:hAnsi="Times New Roman" w:eastAsia="黑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1"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产权转让收入</w:t>
            </w:r>
          </w:p>
        </w:tc>
        <w:tc>
          <w:tcPr>
            <w:tcW w:w="2198"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82</w:t>
            </w:r>
          </w:p>
        </w:tc>
        <w:tc>
          <w:tcPr>
            <w:tcW w:w="2382"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国有企业政策性补贴</w:t>
            </w:r>
          </w:p>
        </w:tc>
        <w:tc>
          <w:tcPr>
            <w:tcW w:w="2232" w:type="dxa"/>
            <w:noWrap w:val="0"/>
            <w:vAlign w:val="center"/>
          </w:tcPr>
          <w:p>
            <w:pPr>
              <w:adjustRightInd w:val="0"/>
              <w:snapToGrid w:val="0"/>
              <w:jc w:val="center"/>
              <w:rPr>
                <w:rFonts w:hint="eastAsia" w:ascii="黑体" w:hAnsi="Times New Roman" w:eastAsia="黑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1"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清算收入</w:t>
            </w:r>
          </w:p>
        </w:tc>
        <w:tc>
          <w:tcPr>
            <w:tcW w:w="2198"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382"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金融国有资本经营预算支出</w:t>
            </w:r>
          </w:p>
        </w:tc>
        <w:tc>
          <w:tcPr>
            <w:tcW w:w="2232" w:type="dxa"/>
            <w:noWrap w:val="0"/>
            <w:vAlign w:val="center"/>
          </w:tcPr>
          <w:p>
            <w:pPr>
              <w:adjustRightInd w:val="0"/>
              <w:snapToGrid w:val="0"/>
              <w:jc w:val="center"/>
              <w:rPr>
                <w:rFonts w:hint="eastAsia" w:ascii="黑体" w:hAnsi="Times New Roman" w:eastAsia="黑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1"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其他国有资本经营预算收入</w:t>
            </w:r>
          </w:p>
        </w:tc>
        <w:tc>
          <w:tcPr>
            <w:tcW w:w="2198"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1379</w:t>
            </w:r>
          </w:p>
        </w:tc>
        <w:tc>
          <w:tcPr>
            <w:tcW w:w="2382"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其他国有资本经营预算支出</w:t>
            </w:r>
          </w:p>
        </w:tc>
        <w:tc>
          <w:tcPr>
            <w:tcW w:w="2232"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021"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本年收入合计</w:t>
            </w:r>
          </w:p>
        </w:tc>
        <w:tc>
          <w:tcPr>
            <w:tcW w:w="2198"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1461</w:t>
            </w:r>
          </w:p>
        </w:tc>
        <w:tc>
          <w:tcPr>
            <w:tcW w:w="2382"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本年支出合计</w:t>
            </w:r>
          </w:p>
        </w:tc>
        <w:tc>
          <w:tcPr>
            <w:tcW w:w="2232"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021"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上级补助收入</w:t>
            </w:r>
          </w:p>
        </w:tc>
        <w:tc>
          <w:tcPr>
            <w:tcW w:w="2198"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33</w:t>
            </w:r>
          </w:p>
        </w:tc>
        <w:tc>
          <w:tcPr>
            <w:tcW w:w="2382" w:type="dxa"/>
            <w:noWrap w:val="0"/>
            <w:vAlign w:val="center"/>
          </w:tcPr>
          <w:p>
            <w:pPr>
              <w:jc w:val="both"/>
              <w:rPr>
                <w:rFonts w:hint="eastAsia" w:ascii="仿宋_GB2312" w:hAnsi="仿宋_GB2312" w:eastAsia="仿宋_GB2312" w:cs="仿宋_GB2312"/>
                <w:color w:val="auto"/>
                <w:sz w:val="24"/>
                <w:szCs w:val="24"/>
              </w:rPr>
            </w:pPr>
          </w:p>
        </w:tc>
        <w:tc>
          <w:tcPr>
            <w:tcW w:w="2232" w:type="dxa"/>
            <w:noWrap w:val="0"/>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021"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上年结余</w:t>
            </w:r>
          </w:p>
        </w:tc>
        <w:tc>
          <w:tcPr>
            <w:tcW w:w="2198"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382" w:type="dxa"/>
            <w:noWrap w:val="0"/>
            <w:vAlign w:val="center"/>
          </w:tcPr>
          <w:p>
            <w:pPr>
              <w:jc w:val="both"/>
              <w:rPr>
                <w:rFonts w:hint="eastAsia" w:ascii="仿宋_GB2312" w:hAnsi="仿宋_GB2312" w:eastAsia="仿宋_GB2312" w:cs="仿宋_GB2312"/>
                <w:color w:val="auto"/>
                <w:sz w:val="24"/>
                <w:szCs w:val="24"/>
              </w:rPr>
            </w:pPr>
          </w:p>
        </w:tc>
        <w:tc>
          <w:tcPr>
            <w:tcW w:w="2232" w:type="dxa"/>
            <w:noWrap w:val="0"/>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1"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省补助计划单列市收入</w:t>
            </w:r>
          </w:p>
        </w:tc>
        <w:tc>
          <w:tcPr>
            <w:tcW w:w="2198"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382" w:type="dxa"/>
            <w:noWrap w:val="0"/>
            <w:vAlign w:val="center"/>
          </w:tcPr>
          <w:p>
            <w:pPr>
              <w:jc w:val="both"/>
              <w:rPr>
                <w:rFonts w:hint="eastAsia" w:ascii="仿宋_GB2312" w:hAnsi="仿宋_GB2312" w:eastAsia="仿宋_GB2312" w:cs="仿宋_GB2312"/>
                <w:color w:val="auto"/>
                <w:sz w:val="24"/>
                <w:szCs w:val="24"/>
              </w:rPr>
            </w:pPr>
          </w:p>
        </w:tc>
        <w:tc>
          <w:tcPr>
            <w:tcW w:w="2232" w:type="dxa"/>
            <w:noWrap w:val="0"/>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021" w:type="dxa"/>
            <w:noWrap w:val="0"/>
            <w:vAlign w:val="center"/>
          </w:tcPr>
          <w:p>
            <w:pPr>
              <w:jc w:val="both"/>
              <w:rPr>
                <w:rFonts w:hint="eastAsia" w:ascii="仿宋_GB2312" w:hAnsi="仿宋_GB2312" w:eastAsia="仿宋_GB2312" w:cs="仿宋_GB2312"/>
                <w:color w:val="auto"/>
                <w:sz w:val="24"/>
                <w:szCs w:val="24"/>
              </w:rPr>
            </w:pPr>
          </w:p>
        </w:tc>
        <w:tc>
          <w:tcPr>
            <w:tcW w:w="2198"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382"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调出资金</w:t>
            </w:r>
          </w:p>
        </w:tc>
        <w:tc>
          <w:tcPr>
            <w:tcW w:w="2232"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021" w:type="dxa"/>
            <w:noWrap w:val="0"/>
            <w:vAlign w:val="center"/>
          </w:tcPr>
          <w:p>
            <w:pPr>
              <w:jc w:val="both"/>
              <w:rPr>
                <w:rFonts w:hint="eastAsia" w:ascii="仿宋_GB2312" w:hAnsi="仿宋_GB2312" w:eastAsia="仿宋_GB2312" w:cs="仿宋_GB2312"/>
                <w:color w:val="auto"/>
                <w:sz w:val="24"/>
                <w:szCs w:val="24"/>
              </w:rPr>
            </w:pPr>
          </w:p>
        </w:tc>
        <w:tc>
          <w:tcPr>
            <w:tcW w:w="2198"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382"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年终结余</w:t>
            </w:r>
          </w:p>
        </w:tc>
        <w:tc>
          <w:tcPr>
            <w:tcW w:w="2232" w:type="dxa"/>
            <w:noWrap w:val="0"/>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021"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收  入  总  计</w:t>
            </w:r>
          </w:p>
        </w:tc>
        <w:tc>
          <w:tcPr>
            <w:tcW w:w="2198"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1494</w:t>
            </w:r>
          </w:p>
        </w:tc>
        <w:tc>
          <w:tcPr>
            <w:tcW w:w="2382"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支  出  总  计</w:t>
            </w:r>
          </w:p>
        </w:tc>
        <w:tc>
          <w:tcPr>
            <w:tcW w:w="2232"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1494</w:t>
            </w:r>
          </w:p>
        </w:tc>
      </w:tr>
    </w:tbl>
    <w:p>
      <w:pPr>
        <w:rPr>
          <w:rFonts w:hint="eastAsia" w:asciiTheme="minorAscii" w:hAnsiTheme="minorAscii" w:eastAsiaTheme="minorEastAsia"/>
          <w:snapToGrid w:val="0"/>
          <w:kern w:val="0"/>
          <w:sz w:val="21"/>
        </w:rPr>
      </w:pPr>
      <w:r>
        <w:rPr>
          <w:rFonts w:hint="eastAsia" w:asciiTheme="minorAscii" w:hAnsiTheme="minorAscii" w:eastAsiaTheme="minorEastAsia"/>
          <w:snapToGrid w:val="0"/>
          <w:kern w:val="0"/>
          <w:sz w:val="21"/>
        </w:rPr>
        <w:br w:type="page"/>
      </w:r>
    </w:p>
    <w:p>
      <w:pPr>
        <w:keepNext w:val="0"/>
        <w:keepLines w:val="0"/>
        <w:pageBreakBefore w:val="0"/>
        <w:widowControl w:val="0"/>
        <w:kinsoku/>
        <w:wordWrap/>
        <w:overflowPunct/>
        <w:topLinePunct w:val="0"/>
        <w:autoSpaceDE/>
        <w:autoSpaceDN/>
        <w:bidi w:val="0"/>
        <w:adjustRightInd w:val="0"/>
        <w:snapToGrid w:val="0"/>
        <w:spacing w:after="156" w:afterLines="50"/>
        <w:jc w:val="both"/>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rPr>
        <w:t>附表5</w:t>
      </w:r>
      <w:r>
        <w:rPr>
          <w:rFonts w:hint="eastAsia" w:ascii="黑体" w:hAnsi="Times New Roman" w:eastAsia="黑体" w:cs="Times New Roman"/>
          <w:color w:val="auto"/>
          <w:sz w:val="32"/>
          <w:szCs w:val="32"/>
          <w:lang w:eastAsia="zh-CN"/>
        </w:rPr>
        <w:t>：</w:t>
      </w:r>
    </w:p>
    <w:p>
      <w:pPr>
        <w:pStyle w:val="5"/>
        <w:keepNext w:val="0"/>
        <w:keepLines w:val="0"/>
        <w:pageBreakBefore w:val="0"/>
        <w:kinsoku/>
        <w:wordWrap/>
        <w:overflowPunct/>
        <w:topLinePunct w:val="0"/>
        <w:autoSpaceDE/>
        <w:autoSpaceDN/>
        <w:bidi w:val="0"/>
        <w:adjustRightInd/>
        <w:spacing w:line="580" w:lineRule="exact"/>
        <w:jc w:val="center"/>
        <w:rPr>
          <w:rFonts w:hint="eastAsia" w:ascii="方正大标宋简体" w:hAnsi="仿宋" w:eastAsia="方正大标宋简体" w:cs="仿宋"/>
          <w:color w:val="auto"/>
          <w:spacing w:val="0"/>
          <w:sz w:val="44"/>
        </w:rPr>
      </w:pPr>
      <w:r>
        <w:rPr>
          <w:rFonts w:hint="eastAsia" w:ascii="方正大标宋简体" w:hAnsi="仿宋" w:eastAsia="方正大标宋简体" w:cs="仿宋"/>
          <w:color w:val="auto"/>
          <w:spacing w:val="0"/>
          <w:sz w:val="44"/>
        </w:rPr>
        <w:t>淅川县202</w:t>
      </w:r>
      <w:r>
        <w:rPr>
          <w:rFonts w:hint="eastAsia" w:ascii="方正大标宋简体" w:hAnsi="仿宋" w:eastAsia="方正大标宋简体" w:cs="仿宋"/>
          <w:color w:val="auto"/>
          <w:spacing w:val="0"/>
          <w:sz w:val="44"/>
          <w:lang w:val="en-US" w:eastAsia="zh-CN"/>
        </w:rPr>
        <w:t>3</w:t>
      </w:r>
      <w:r>
        <w:rPr>
          <w:rFonts w:hint="eastAsia" w:ascii="方正大标宋简体" w:hAnsi="仿宋" w:eastAsia="方正大标宋简体" w:cs="仿宋"/>
          <w:color w:val="auto"/>
          <w:spacing w:val="0"/>
          <w:sz w:val="44"/>
        </w:rPr>
        <w:t>年社会保险基金预算收支</w:t>
      </w:r>
    </w:p>
    <w:p>
      <w:pPr>
        <w:pStyle w:val="5"/>
        <w:keepNext w:val="0"/>
        <w:keepLines w:val="0"/>
        <w:pageBreakBefore w:val="0"/>
        <w:kinsoku/>
        <w:wordWrap/>
        <w:overflowPunct/>
        <w:topLinePunct w:val="0"/>
        <w:autoSpaceDE/>
        <w:autoSpaceDN/>
        <w:bidi w:val="0"/>
        <w:adjustRightInd/>
        <w:spacing w:line="580" w:lineRule="exact"/>
        <w:jc w:val="center"/>
        <w:rPr>
          <w:rFonts w:hint="eastAsia" w:ascii="方正大标宋简体" w:hAnsi="仿宋" w:eastAsia="方正大标宋简体" w:cs="仿宋"/>
          <w:color w:val="auto"/>
          <w:spacing w:val="0"/>
          <w:sz w:val="44"/>
        </w:rPr>
      </w:pPr>
      <w:r>
        <w:rPr>
          <w:rFonts w:hint="eastAsia" w:ascii="方正大标宋简体" w:hAnsi="仿宋" w:eastAsia="方正大标宋简体" w:cs="仿宋"/>
          <w:color w:val="auto"/>
          <w:spacing w:val="0"/>
          <w:sz w:val="44"/>
        </w:rPr>
        <w:t>完</w:t>
      </w:r>
      <w:r>
        <w:rPr>
          <w:rFonts w:hint="eastAsia" w:ascii="方正大标宋简体" w:hAnsi="仿宋" w:eastAsia="方正大标宋简体" w:cs="仿宋"/>
          <w:color w:val="auto"/>
          <w:spacing w:val="0"/>
          <w:sz w:val="44"/>
          <w:lang w:val="en-US" w:eastAsia="zh-CN"/>
        </w:rPr>
        <w:t xml:space="preserve"> </w:t>
      </w:r>
      <w:r>
        <w:rPr>
          <w:rFonts w:hint="eastAsia" w:ascii="方正大标宋简体" w:hAnsi="仿宋" w:eastAsia="方正大标宋简体" w:cs="仿宋"/>
          <w:color w:val="auto"/>
          <w:spacing w:val="0"/>
          <w:sz w:val="44"/>
        </w:rPr>
        <w:t>成</w:t>
      </w:r>
      <w:r>
        <w:rPr>
          <w:rFonts w:hint="eastAsia" w:ascii="方正大标宋简体" w:hAnsi="仿宋" w:eastAsia="方正大标宋简体" w:cs="仿宋"/>
          <w:color w:val="auto"/>
          <w:spacing w:val="0"/>
          <w:sz w:val="44"/>
          <w:lang w:val="en-US" w:eastAsia="zh-CN"/>
        </w:rPr>
        <w:t xml:space="preserve"> </w:t>
      </w:r>
      <w:r>
        <w:rPr>
          <w:rFonts w:hint="eastAsia" w:ascii="方正大标宋简体" w:hAnsi="仿宋" w:eastAsia="方正大标宋简体" w:cs="仿宋"/>
          <w:color w:val="auto"/>
          <w:spacing w:val="0"/>
          <w:sz w:val="44"/>
        </w:rPr>
        <w:t>情</w:t>
      </w:r>
      <w:r>
        <w:rPr>
          <w:rFonts w:hint="eastAsia" w:ascii="方正大标宋简体" w:hAnsi="仿宋" w:eastAsia="方正大标宋简体" w:cs="仿宋"/>
          <w:color w:val="auto"/>
          <w:spacing w:val="0"/>
          <w:sz w:val="44"/>
          <w:lang w:val="en-US" w:eastAsia="zh-CN"/>
        </w:rPr>
        <w:t xml:space="preserve"> </w:t>
      </w:r>
      <w:r>
        <w:rPr>
          <w:rFonts w:hint="eastAsia" w:ascii="方正大标宋简体" w:hAnsi="仿宋" w:eastAsia="方正大标宋简体" w:cs="仿宋"/>
          <w:color w:val="auto"/>
          <w:spacing w:val="0"/>
          <w:sz w:val="44"/>
        </w:rPr>
        <w:t>况</w:t>
      </w:r>
      <w:r>
        <w:rPr>
          <w:rFonts w:hint="eastAsia" w:ascii="方正大标宋简体" w:hAnsi="仿宋" w:eastAsia="方正大标宋简体" w:cs="仿宋"/>
          <w:color w:val="auto"/>
          <w:spacing w:val="0"/>
          <w:sz w:val="44"/>
          <w:lang w:val="en-US" w:eastAsia="zh-CN"/>
        </w:rPr>
        <w:t xml:space="preserve"> </w:t>
      </w:r>
      <w:r>
        <w:rPr>
          <w:rFonts w:hint="eastAsia" w:ascii="方正大标宋简体" w:hAnsi="仿宋" w:eastAsia="方正大标宋简体" w:cs="仿宋"/>
          <w:color w:val="auto"/>
          <w:spacing w:val="0"/>
          <w:sz w:val="44"/>
        </w:rPr>
        <w:t>表</w:t>
      </w:r>
    </w:p>
    <w:p>
      <w:pPr>
        <w:ind w:right="278"/>
        <w:jc w:val="right"/>
        <w:rPr>
          <w:rFonts w:ascii="楷体_GB2312" w:eastAsia="楷体_GB2312"/>
          <w:b/>
          <w:color w:val="auto"/>
          <w:sz w:val="24"/>
          <w:szCs w:val="24"/>
        </w:rPr>
      </w:pPr>
      <w:r>
        <w:rPr>
          <w:rFonts w:hint="eastAsia" w:ascii="楷体_GB2312" w:eastAsia="楷体_GB2312"/>
          <w:b/>
          <w:color w:val="auto"/>
          <w:sz w:val="32"/>
          <w:szCs w:val="32"/>
        </w:rPr>
        <w:t xml:space="preserve">         </w:t>
      </w:r>
      <w:r>
        <w:rPr>
          <w:rFonts w:hint="eastAsia" w:ascii="楷体_GB2312" w:eastAsia="楷体_GB2312"/>
          <w:b/>
          <w:color w:val="auto"/>
          <w:sz w:val="24"/>
          <w:szCs w:val="24"/>
        </w:rPr>
        <w:t xml:space="preserve"> 单位：万元</w:t>
      </w:r>
    </w:p>
    <w:tbl>
      <w:tblPr>
        <w:tblStyle w:val="8"/>
        <w:tblW w:w="8778" w:type="dxa"/>
        <w:tblInd w:w="96" w:type="dxa"/>
        <w:tblLayout w:type="fixed"/>
        <w:tblCellMar>
          <w:top w:w="0" w:type="dxa"/>
          <w:left w:w="108" w:type="dxa"/>
          <w:bottom w:w="0" w:type="dxa"/>
          <w:right w:w="108" w:type="dxa"/>
        </w:tblCellMar>
      </w:tblPr>
      <w:tblGrid>
        <w:gridCol w:w="4353"/>
        <w:gridCol w:w="1203"/>
        <w:gridCol w:w="1096"/>
        <w:gridCol w:w="960"/>
        <w:gridCol w:w="1166"/>
      </w:tblGrid>
      <w:tr>
        <w:tblPrEx>
          <w:tblCellMar>
            <w:top w:w="0" w:type="dxa"/>
            <w:left w:w="108" w:type="dxa"/>
            <w:bottom w:w="0" w:type="dxa"/>
            <w:right w:w="108" w:type="dxa"/>
          </w:tblCellMar>
        </w:tblPrEx>
        <w:trPr>
          <w:trHeight w:val="803" w:hRule="atLeast"/>
        </w:trPr>
        <w:tc>
          <w:tcPr>
            <w:tcW w:w="4353" w:type="dxa"/>
            <w:tcBorders>
              <w:top w:val="single" w:color="auto" w:sz="4" w:space="0"/>
              <w:left w:val="single" w:color="auto" w:sz="4" w:space="0"/>
              <w:bottom w:val="single" w:color="auto" w:sz="4" w:space="0"/>
              <w:right w:val="single" w:color="auto" w:sz="4" w:space="0"/>
            </w:tcBorders>
            <w:noWrap w:val="0"/>
            <w:vAlign w:val="center"/>
          </w:tcPr>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项　　目</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收  入</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支</w:t>
            </w:r>
            <w:r>
              <w:rPr>
                <w:rFonts w:hint="eastAsia" w:ascii="黑体" w:hAnsi="黑体" w:eastAsia="黑体" w:cs="黑体"/>
                <w:color w:val="auto"/>
                <w:kern w:val="0"/>
                <w:sz w:val="24"/>
                <w:szCs w:val="24"/>
                <w:lang w:val="en-US" w:eastAsia="zh-CN"/>
              </w:rPr>
              <w:t xml:space="preserve"> </w:t>
            </w:r>
            <w:r>
              <w:rPr>
                <w:rFonts w:hint="eastAsia" w:ascii="黑体" w:hAnsi="黑体" w:eastAsia="黑体" w:cs="黑体"/>
                <w:color w:val="auto"/>
                <w:kern w:val="0"/>
                <w:sz w:val="24"/>
                <w:szCs w:val="24"/>
              </w:rPr>
              <w:t xml:space="preserve"> 出</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结</w:t>
            </w:r>
            <w:r>
              <w:rPr>
                <w:rFonts w:hint="eastAsia" w:ascii="黑体" w:hAnsi="黑体" w:eastAsia="黑体" w:cs="黑体"/>
                <w:color w:val="auto"/>
                <w:kern w:val="0"/>
                <w:sz w:val="24"/>
                <w:szCs w:val="24"/>
                <w:lang w:val="en-US" w:eastAsia="zh-CN"/>
              </w:rPr>
              <w:t xml:space="preserve"> </w:t>
            </w:r>
            <w:r>
              <w:rPr>
                <w:rFonts w:hint="eastAsia" w:ascii="黑体" w:hAnsi="黑体" w:eastAsia="黑体" w:cs="黑体"/>
                <w:color w:val="auto"/>
                <w:kern w:val="0"/>
                <w:sz w:val="24"/>
                <w:szCs w:val="24"/>
              </w:rPr>
              <w:t xml:space="preserve"> 余</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年末滚存</w:t>
            </w:r>
          </w:p>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结</w:t>
            </w:r>
            <w:r>
              <w:rPr>
                <w:rFonts w:hint="eastAsia" w:ascii="黑体" w:hAnsi="黑体" w:eastAsia="黑体" w:cs="黑体"/>
                <w:color w:val="auto"/>
                <w:kern w:val="0"/>
                <w:sz w:val="24"/>
                <w:szCs w:val="24"/>
                <w:lang w:val="en-US" w:eastAsia="zh-CN"/>
              </w:rPr>
              <w:t xml:space="preserve">  </w:t>
            </w:r>
            <w:r>
              <w:rPr>
                <w:rFonts w:hint="eastAsia" w:ascii="黑体" w:hAnsi="黑体" w:eastAsia="黑体" w:cs="黑体"/>
                <w:color w:val="auto"/>
                <w:kern w:val="0"/>
                <w:sz w:val="24"/>
                <w:szCs w:val="24"/>
              </w:rPr>
              <w:t xml:space="preserve"> 余</w:t>
            </w:r>
          </w:p>
        </w:tc>
      </w:tr>
      <w:tr>
        <w:tblPrEx>
          <w:tblCellMar>
            <w:top w:w="0" w:type="dxa"/>
            <w:left w:w="108" w:type="dxa"/>
            <w:bottom w:w="0" w:type="dxa"/>
            <w:right w:w="108" w:type="dxa"/>
          </w:tblCellMar>
        </w:tblPrEx>
        <w:trPr>
          <w:trHeight w:val="607" w:hRule="atLeast"/>
        </w:trPr>
        <w:tc>
          <w:tcPr>
            <w:tcW w:w="43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社会保险基金合计</w:t>
            </w:r>
          </w:p>
        </w:tc>
        <w:tc>
          <w:tcPr>
            <w:tcW w:w="12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101483</w:t>
            </w:r>
          </w:p>
        </w:tc>
        <w:tc>
          <w:tcPr>
            <w:tcW w:w="109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85384</w:t>
            </w:r>
          </w:p>
        </w:tc>
        <w:tc>
          <w:tcPr>
            <w:tcW w:w="96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16099</w:t>
            </w:r>
          </w:p>
        </w:tc>
        <w:tc>
          <w:tcPr>
            <w:tcW w:w="116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112213</w:t>
            </w: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城乡居民基本养老保险基金</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20508</w:t>
            </w:r>
          </w:p>
        </w:tc>
        <w:tc>
          <w:tcPr>
            <w:tcW w:w="109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16240</w:t>
            </w:r>
          </w:p>
        </w:tc>
        <w:tc>
          <w:tcPr>
            <w:tcW w:w="960"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4268</w:t>
            </w:r>
          </w:p>
        </w:tc>
        <w:tc>
          <w:tcPr>
            <w:tcW w:w="116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67705</w:t>
            </w: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收入：个人缴费</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5358</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财政补贴收入</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13295</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其他收入（利息及转移收入）</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1855</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职工基本医疗保险基金</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18504</w:t>
            </w:r>
          </w:p>
        </w:tc>
        <w:tc>
          <w:tcPr>
            <w:tcW w:w="109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15168</w:t>
            </w:r>
          </w:p>
        </w:tc>
        <w:tc>
          <w:tcPr>
            <w:tcW w:w="960"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3336</w:t>
            </w:r>
          </w:p>
        </w:tc>
        <w:tc>
          <w:tcPr>
            <w:tcW w:w="1166"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23634</w:t>
            </w: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收入：财政补助</w:t>
            </w:r>
          </w:p>
        </w:tc>
        <w:tc>
          <w:tcPr>
            <w:tcW w:w="120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经办机构征缴</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17298</w:t>
            </w:r>
          </w:p>
        </w:tc>
        <w:tc>
          <w:tcPr>
            <w:tcW w:w="1096" w:type="dxa"/>
            <w:tcBorders>
              <w:top w:val="nil"/>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其他收入（利息及转移收入）</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1206</w:t>
            </w:r>
          </w:p>
        </w:tc>
        <w:tc>
          <w:tcPr>
            <w:tcW w:w="1096" w:type="dxa"/>
            <w:tcBorders>
              <w:top w:val="nil"/>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大额医保</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1371</w:t>
            </w:r>
          </w:p>
        </w:tc>
        <w:tc>
          <w:tcPr>
            <w:tcW w:w="109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1911</w:t>
            </w:r>
          </w:p>
        </w:tc>
        <w:tc>
          <w:tcPr>
            <w:tcW w:w="960"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-540</w:t>
            </w:r>
          </w:p>
        </w:tc>
        <w:tc>
          <w:tcPr>
            <w:tcW w:w="116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686</w:t>
            </w: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城乡居民基本医疗保险基金</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61100</w:t>
            </w:r>
          </w:p>
        </w:tc>
        <w:tc>
          <w:tcPr>
            <w:tcW w:w="109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52065</w:t>
            </w:r>
          </w:p>
        </w:tc>
        <w:tc>
          <w:tcPr>
            <w:tcW w:w="960" w:type="dxa"/>
            <w:tcBorders>
              <w:top w:val="nil"/>
              <w:left w:val="nil"/>
              <w:bottom w:val="single" w:color="auto" w:sz="4" w:space="0"/>
              <w:right w:val="single" w:color="auto" w:sz="4" w:space="0"/>
            </w:tcBorders>
            <w:noWrap w:val="0"/>
            <w:vAlign w:val="center"/>
          </w:tcPr>
          <w:p>
            <w:pPr>
              <w:widowControl/>
              <w:tabs>
                <w:tab w:val="left" w:pos="210"/>
              </w:tabs>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9035</w:t>
            </w:r>
          </w:p>
        </w:tc>
        <w:tc>
          <w:tcPr>
            <w:tcW w:w="116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20188</w:t>
            </w: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收入：个人缴费</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20465</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财政补贴收入</w:t>
            </w:r>
          </w:p>
        </w:tc>
        <w:tc>
          <w:tcPr>
            <w:tcW w:w="1203" w:type="dxa"/>
            <w:tcBorders>
              <w:top w:val="nil"/>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37552</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ind w:firstLine="960" w:firstLineChars="4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利息收入</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399</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trPr>
        <w:tc>
          <w:tcPr>
            <w:tcW w:w="435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其他收入    </w:t>
            </w:r>
          </w:p>
        </w:tc>
        <w:tc>
          <w:tcPr>
            <w:tcW w:w="120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2684</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bl>
    <w:p>
      <w:pPr>
        <w:rPr>
          <w:rFonts w:hint="eastAsia" w:asciiTheme="minorAscii" w:hAnsiTheme="minorAscii" w:eastAsiaTheme="minorEastAsia"/>
          <w:snapToGrid w:val="0"/>
          <w:kern w:val="0"/>
          <w:sz w:val="21"/>
        </w:rPr>
      </w:pPr>
      <w:r>
        <w:rPr>
          <w:rFonts w:hint="eastAsia" w:asciiTheme="minorAscii" w:hAnsiTheme="minorAscii" w:eastAsiaTheme="minorEastAsia"/>
          <w:snapToGrid w:val="0"/>
          <w:kern w:val="0"/>
          <w:sz w:val="21"/>
        </w:rPr>
        <w:br w:type="page"/>
      </w:r>
    </w:p>
    <w:p>
      <w:pPr>
        <w:keepNext w:val="0"/>
        <w:keepLines w:val="0"/>
        <w:pageBreakBefore w:val="0"/>
        <w:widowControl w:val="0"/>
        <w:kinsoku/>
        <w:wordWrap/>
        <w:overflowPunct/>
        <w:topLinePunct w:val="0"/>
        <w:autoSpaceDE/>
        <w:autoSpaceDN/>
        <w:bidi w:val="0"/>
        <w:adjustRightInd w:val="0"/>
        <w:snapToGrid w:val="0"/>
        <w:spacing w:after="156" w:afterLines="50"/>
        <w:jc w:val="both"/>
        <w:textAlignment w:val="auto"/>
        <w:rPr>
          <w:rFonts w:hint="eastAsia" w:ascii="黑体" w:hAnsi="Times New Roman" w:eastAsia="黑体" w:cs="Times New Roman"/>
          <w:color w:val="auto"/>
          <w:sz w:val="32"/>
          <w:szCs w:val="32"/>
          <w:lang w:val="en-US" w:eastAsia="zh-CN"/>
        </w:rPr>
      </w:pPr>
      <w:r>
        <w:rPr>
          <w:rFonts w:hint="eastAsia" w:ascii="黑体" w:hAnsi="Times New Roman" w:eastAsia="黑体" w:cs="Times New Roman"/>
          <w:color w:val="auto"/>
          <w:sz w:val="32"/>
          <w:szCs w:val="32"/>
          <w:lang w:val="en-US" w:eastAsia="zh-CN"/>
        </w:rPr>
        <w:t>附表6：</w:t>
      </w:r>
    </w:p>
    <w:p>
      <w:pPr>
        <w:rPr>
          <w:rFonts w:hint="eastAsia" w:asciiTheme="minorAscii" w:hAnsiTheme="minorAscii" w:eastAsiaTheme="minorEastAsia"/>
          <w:snapToGrid w:val="0"/>
          <w:kern w:val="0"/>
          <w:sz w:val="21"/>
        </w:rPr>
      </w:pPr>
    </w:p>
    <w:p>
      <w:pPr>
        <w:pStyle w:val="5"/>
        <w:keepNext w:val="0"/>
        <w:keepLines w:val="0"/>
        <w:pageBreakBefore w:val="0"/>
        <w:kinsoku/>
        <w:wordWrap/>
        <w:overflowPunct/>
        <w:topLinePunct w:val="0"/>
        <w:autoSpaceDE/>
        <w:autoSpaceDN/>
        <w:bidi w:val="0"/>
        <w:adjustRightInd/>
        <w:spacing w:line="580" w:lineRule="exact"/>
        <w:jc w:val="center"/>
        <w:rPr>
          <w:rFonts w:hint="eastAsia" w:ascii="方正大标宋简体" w:hAnsi="仿宋" w:eastAsia="方正大标宋简体" w:cs="仿宋"/>
          <w:color w:val="auto"/>
          <w:spacing w:val="0"/>
          <w:sz w:val="44"/>
        </w:rPr>
      </w:pPr>
      <w:r>
        <w:rPr>
          <w:rFonts w:hint="eastAsia" w:ascii="方正大标宋简体" w:hAnsi="仿宋" w:eastAsia="方正大标宋简体" w:cs="仿宋"/>
          <w:color w:val="auto"/>
          <w:spacing w:val="0"/>
          <w:sz w:val="44"/>
        </w:rPr>
        <w:t>淅川县202</w:t>
      </w:r>
      <w:r>
        <w:rPr>
          <w:rFonts w:hint="eastAsia" w:ascii="方正大标宋简体" w:hAnsi="仿宋" w:eastAsia="方正大标宋简体" w:cs="仿宋"/>
          <w:color w:val="auto"/>
          <w:spacing w:val="0"/>
          <w:sz w:val="44"/>
          <w:lang w:val="en-US" w:eastAsia="zh-CN"/>
        </w:rPr>
        <w:t>3</w:t>
      </w:r>
      <w:r>
        <w:rPr>
          <w:rFonts w:hint="eastAsia" w:ascii="方正大标宋简体" w:hAnsi="仿宋" w:eastAsia="方正大标宋简体" w:cs="仿宋"/>
          <w:color w:val="auto"/>
          <w:spacing w:val="0"/>
          <w:sz w:val="44"/>
        </w:rPr>
        <w:t>年地方政府债务情况表</w:t>
      </w:r>
    </w:p>
    <w:p>
      <w:pPr>
        <w:rPr>
          <w:rFonts w:hint="eastAsia" w:asciiTheme="minorAscii" w:hAnsiTheme="minorAscii" w:eastAsiaTheme="minorEastAsia"/>
          <w:snapToGrid w:val="0"/>
          <w:kern w:val="0"/>
          <w:sz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2139"/>
        <w:gridCol w:w="2139"/>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139" w:type="dxa"/>
            <w:noWrap w:val="0"/>
            <w:vAlign w:val="center"/>
          </w:tcPr>
          <w:p>
            <w:pPr>
              <w:widowControl/>
              <w:ind w:left="-63" w:leftChars="-30" w:right="-63" w:rightChars="-30"/>
              <w:jc w:val="center"/>
              <w:rPr>
                <w:rFonts w:hint="eastAsia" w:ascii="黑体" w:hAnsi="黑体" w:eastAsia="黑体" w:cs="黑体"/>
                <w:color w:val="auto"/>
                <w:kern w:val="0"/>
                <w:sz w:val="30"/>
                <w:szCs w:val="30"/>
                <w:lang w:val="en-US" w:eastAsia="zh-CN"/>
              </w:rPr>
            </w:pPr>
            <w:r>
              <w:rPr>
                <w:rFonts w:hint="eastAsia" w:ascii="黑体" w:hAnsi="黑体" w:eastAsia="黑体" w:cs="黑体"/>
                <w:color w:val="auto"/>
                <w:kern w:val="0"/>
                <w:sz w:val="30"/>
                <w:szCs w:val="30"/>
                <w:lang w:val="en-US" w:eastAsia="zh-CN"/>
              </w:rPr>
              <w:t>项目</w:t>
            </w:r>
          </w:p>
        </w:tc>
        <w:tc>
          <w:tcPr>
            <w:tcW w:w="2139" w:type="dxa"/>
            <w:noWrap w:val="0"/>
            <w:vAlign w:val="center"/>
          </w:tcPr>
          <w:p>
            <w:pPr>
              <w:widowControl/>
              <w:ind w:left="-63" w:leftChars="-30" w:right="-63" w:rightChars="-30"/>
              <w:jc w:val="center"/>
              <w:rPr>
                <w:rFonts w:hint="eastAsia" w:ascii="黑体" w:hAnsi="黑体" w:eastAsia="黑体" w:cs="黑体"/>
                <w:color w:val="auto"/>
                <w:kern w:val="0"/>
                <w:sz w:val="30"/>
                <w:szCs w:val="30"/>
                <w:lang w:val="en-US" w:eastAsia="zh-CN"/>
              </w:rPr>
            </w:pPr>
            <w:r>
              <w:rPr>
                <w:rFonts w:hint="eastAsia" w:ascii="黑体" w:hAnsi="黑体" w:eastAsia="黑体" w:cs="黑体"/>
                <w:color w:val="auto"/>
                <w:kern w:val="0"/>
                <w:sz w:val="30"/>
                <w:szCs w:val="30"/>
                <w:lang w:val="en-US" w:eastAsia="zh-CN"/>
              </w:rPr>
              <w:t>合计</w:t>
            </w:r>
          </w:p>
        </w:tc>
        <w:tc>
          <w:tcPr>
            <w:tcW w:w="2139" w:type="dxa"/>
            <w:noWrap w:val="0"/>
            <w:vAlign w:val="center"/>
          </w:tcPr>
          <w:p>
            <w:pPr>
              <w:widowControl/>
              <w:ind w:left="-63" w:leftChars="-30" w:right="-63" w:rightChars="-30"/>
              <w:jc w:val="center"/>
              <w:rPr>
                <w:rFonts w:hint="eastAsia" w:ascii="黑体" w:hAnsi="黑体" w:eastAsia="黑体" w:cs="黑体"/>
                <w:color w:val="auto"/>
                <w:kern w:val="0"/>
                <w:sz w:val="30"/>
                <w:szCs w:val="30"/>
                <w:lang w:val="en-US" w:eastAsia="zh-CN"/>
              </w:rPr>
            </w:pPr>
            <w:r>
              <w:rPr>
                <w:rFonts w:hint="eastAsia" w:ascii="黑体" w:hAnsi="黑体" w:eastAsia="黑体" w:cs="黑体"/>
                <w:color w:val="auto"/>
                <w:kern w:val="0"/>
                <w:sz w:val="30"/>
                <w:szCs w:val="30"/>
                <w:lang w:val="en-US" w:eastAsia="zh-CN"/>
              </w:rPr>
              <w:t>一般债务</w:t>
            </w:r>
          </w:p>
        </w:tc>
        <w:tc>
          <w:tcPr>
            <w:tcW w:w="2141" w:type="dxa"/>
            <w:noWrap w:val="0"/>
            <w:vAlign w:val="center"/>
          </w:tcPr>
          <w:p>
            <w:pPr>
              <w:widowControl/>
              <w:ind w:left="-63" w:leftChars="-30" w:right="-63" w:rightChars="-30"/>
              <w:jc w:val="center"/>
              <w:rPr>
                <w:rFonts w:hint="eastAsia" w:ascii="黑体" w:hAnsi="黑体" w:eastAsia="黑体" w:cs="黑体"/>
                <w:color w:val="auto"/>
                <w:kern w:val="0"/>
                <w:sz w:val="30"/>
                <w:szCs w:val="30"/>
                <w:lang w:val="en-US" w:eastAsia="zh-CN"/>
              </w:rPr>
            </w:pPr>
            <w:r>
              <w:rPr>
                <w:rFonts w:hint="eastAsia" w:ascii="黑体" w:hAnsi="黑体" w:eastAsia="黑体" w:cs="黑体"/>
                <w:color w:val="auto"/>
                <w:kern w:val="0"/>
                <w:sz w:val="30"/>
                <w:szCs w:val="30"/>
                <w:lang w:val="en-US" w:eastAsia="zh-CN"/>
              </w:rPr>
              <w:t>专项债务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139" w:type="dxa"/>
            <w:noWrap w:val="0"/>
            <w:vAlign w:val="center"/>
          </w:tcPr>
          <w:p>
            <w:pPr>
              <w:widowControl/>
              <w:numPr>
                <w:ilvl w:val="0"/>
                <w:numId w:val="0"/>
              </w:numPr>
              <w:spacing w:line="480" w:lineRule="auto"/>
              <w:ind w:leftChars="0"/>
              <w:jc w:val="center"/>
              <w:textAlignment w:val="center"/>
              <w:rPr>
                <w:rFonts w:hint="eastAsia" w:ascii="仿宋_GB2312" w:hAnsi="仿宋_GB2312" w:eastAsia="仿宋_GB2312" w:cs="仿宋_GB2312"/>
                <w:color w:val="auto"/>
                <w:kern w:val="0"/>
                <w:sz w:val="30"/>
                <w:szCs w:val="30"/>
                <w:highlight w:val="none"/>
                <w:lang w:val="en-US" w:eastAsia="zh-CN" w:bidi="ar"/>
              </w:rPr>
            </w:pPr>
            <w:r>
              <w:rPr>
                <w:rFonts w:hint="eastAsia" w:ascii="仿宋_GB2312" w:hAnsi="仿宋_GB2312" w:eastAsia="仿宋_GB2312" w:cs="仿宋_GB2312"/>
                <w:color w:val="auto"/>
                <w:kern w:val="0"/>
                <w:sz w:val="30"/>
                <w:szCs w:val="30"/>
                <w:highlight w:val="none"/>
                <w:lang w:val="en-US" w:eastAsia="zh-CN" w:bidi="ar"/>
              </w:rPr>
              <w:t>债务限额</w:t>
            </w:r>
          </w:p>
        </w:tc>
        <w:tc>
          <w:tcPr>
            <w:tcW w:w="2139" w:type="dxa"/>
            <w:noWrap w:val="0"/>
            <w:vAlign w:val="center"/>
          </w:tcPr>
          <w:p>
            <w:pPr>
              <w:widowControl/>
              <w:numPr>
                <w:ilvl w:val="0"/>
                <w:numId w:val="0"/>
              </w:numPr>
              <w:spacing w:line="480" w:lineRule="auto"/>
              <w:ind w:leftChars="0"/>
              <w:jc w:val="center"/>
              <w:textAlignment w:val="center"/>
              <w:rPr>
                <w:rFonts w:hint="eastAsia" w:ascii="仿宋_GB2312" w:hAnsi="仿宋_GB2312" w:eastAsia="仿宋_GB2312" w:cs="仿宋_GB2312"/>
                <w:color w:val="auto"/>
                <w:kern w:val="0"/>
                <w:sz w:val="30"/>
                <w:szCs w:val="30"/>
                <w:highlight w:val="none"/>
                <w:lang w:bidi="ar"/>
              </w:rPr>
            </w:pPr>
            <w:r>
              <w:rPr>
                <w:rFonts w:hint="eastAsia" w:ascii="仿宋_GB2312" w:hAnsi="仿宋_GB2312" w:eastAsia="仿宋_GB2312" w:cs="仿宋_GB2312"/>
                <w:color w:val="auto"/>
                <w:kern w:val="0"/>
                <w:sz w:val="30"/>
                <w:szCs w:val="30"/>
                <w:highlight w:val="none"/>
                <w:lang w:val="en-US" w:eastAsia="zh-CN" w:bidi="ar"/>
              </w:rPr>
              <w:t>1197918</w:t>
            </w:r>
          </w:p>
        </w:tc>
        <w:tc>
          <w:tcPr>
            <w:tcW w:w="2139" w:type="dxa"/>
            <w:noWrap w:val="0"/>
            <w:vAlign w:val="center"/>
          </w:tcPr>
          <w:p>
            <w:pPr>
              <w:widowControl/>
              <w:numPr>
                <w:ilvl w:val="0"/>
                <w:numId w:val="0"/>
              </w:numPr>
              <w:spacing w:line="480" w:lineRule="auto"/>
              <w:ind w:leftChars="0"/>
              <w:jc w:val="center"/>
              <w:textAlignment w:val="center"/>
              <w:rPr>
                <w:rFonts w:hint="eastAsia" w:ascii="仿宋_GB2312" w:hAnsi="仿宋_GB2312" w:eastAsia="仿宋_GB2312" w:cs="仿宋_GB2312"/>
                <w:color w:val="auto"/>
                <w:kern w:val="0"/>
                <w:sz w:val="30"/>
                <w:szCs w:val="30"/>
                <w:highlight w:val="none"/>
                <w:lang w:bidi="ar"/>
              </w:rPr>
            </w:pPr>
            <w:r>
              <w:rPr>
                <w:rFonts w:hint="eastAsia" w:ascii="仿宋_GB2312" w:hAnsi="仿宋_GB2312" w:eastAsia="仿宋_GB2312" w:cs="仿宋_GB2312"/>
                <w:color w:val="auto"/>
                <w:kern w:val="0"/>
                <w:sz w:val="30"/>
                <w:szCs w:val="30"/>
                <w:highlight w:val="none"/>
                <w:lang w:val="en-US" w:eastAsia="zh-CN" w:bidi="ar"/>
              </w:rPr>
              <w:t>365604</w:t>
            </w:r>
          </w:p>
        </w:tc>
        <w:tc>
          <w:tcPr>
            <w:tcW w:w="2141" w:type="dxa"/>
            <w:noWrap w:val="0"/>
            <w:vAlign w:val="center"/>
          </w:tcPr>
          <w:p>
            <w:pPr>
              <w:widowControl/>
              <w:numPr>
                <w:ilvl w:val="0"/>
                <w:numId w:val="0"/>
              </w:numPr>
              <w:spacing w:line="480" w:lineRule="auto"/>
              <w:ind w:leftChars="0"/>
              <w:jc w:val="center"/>
              <w:textAlignment w:val="center"/>
              <w:rPr>
                <w:rFonts w:hint="eastAsia" w:ascii="仿宋_GB2312" w:hAnsi="仿宋_GB2312" w:eastAsia="仿宋_GB2312" w:cs="仿宋_GB2312"/>
                <w:color w:val="auto"/>
                <w:kern w:val="0"/>
                <w:sz w:val="30"/>
                <w:szCs w:val="30"/>
                <w:highlight w:val="none"/>
                <w:lang w:bidi="ar"/>
              </w:rPr>
            </w:pPr>
            <w:r>
              <w:rPr>
                <w:rFonts w:hint="eastAsia" w:ascii="仿宋_GB2312" w:hAnsi="仿宋_GB2312" w:eastAsia="仿宋_GB2312" w:cs="仿宋_GB2312"/>
                <w:color w:val="auto"/>
                <w:kern w:val="0"/>
                <w:sz w:val="30"/>
                <w:szCs w:val="30"/>
                <w:highlight w:val="none"/>
                <w:lang w:val="en-US" w:eastAsia="zh-CN" w:bidi="ar"/>
              </w:rPr>
              <w:t>832314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139" w:type="dxa"/>
            <w:noWrap w:val="0"/>
            <w:vAlign w:val="center"/>
          </w:tcPr>
          <w:p>
            <w:pPr>
              <w:widowControl/>
              <w:numPr>
                <w:ilvl w:val="0"/>
                <w:numId w:val="0"/>
              </w:numPr>
              <w:spacing w:line="480" w:lineRule="auto"/>
              <w:ind w:leftChars="0"/>
              <w:jc w:val="center"/>
              <w:textAlignment w:val="center"/>
              <w:rPr>
                <w:rFonts w:hint="eastAsia" w:ascii="仿宋_GB2312" w:hAnsi="仿宋_GB2312" w:eastAsia="仿宋_GB2312" w:cs="仿宋_GB2312"/>
                <w:color w:val="auto"/>
                <w:kern w:val="0"/>
                <w:sz w:val="30"/>
                <w:szCs w:val="30"/>
                <w:highlight w:val="none"/>
                <w:lang w:val="en-US" w:eastAsia="zh-CN" w:bidi="ar"/>
              </w:rPr>
            </w:pPr>
            <w:r>
              <w:rPr>
                <w:rFonts w:hint="eastAsia" w:ascii="仿宋_GB2312" w:hAnsi="仿宋_GB2312" w:eastAsia="仿宋_GB2312" w:cs="仿宋_GB2312"/>
                <w:color w:val="auto"/>
                <w:kern w:val="0"/>
                <w:sz w:val="30"/>
                <w:szCs w:val="30"/>
                <w:highlight w:val="none"/>
                <w:lang w:val="en-US" w:eastAsia="zh-CN" w:bidi="ar"/>
              </w:rPr>
              <w:t>债务余额</w:t>
            </w:r>
          </w:p>
        </w:tc>
        <w:tc>
          <w:tcPr>
            <w:tcW w:w="2139" w:type="dxa"/>
            <w:noWrap w:val="0"/>
            <w:vAlign w:val="center"/>
          </w:tcPr>
          <w:p>
            <w:pPr>
              <w:widowControl/>
              <w:numPr>
                <w:ilvl w:val="0"/>
                <w:numId w:val="0"/>
              </w:numPr>
              <w:spacing w:line="480" w:lineRule="auto"/>
              <w:ind w:leftChars="0"/>
              <w:jc w:val="center"/>
              <w:textAlignment w:val="center"/>
              <w:rPr>
                <w:rFonts w:hint="eastAsia" w:ascii="仿宋_GB2312" w:hAnsi="仿宋_GB2312" w:eastAsia="仿宋_GB2312" w:cs="仿宋_GB2312"/>
                <w:color w:val="auto"/>
                <w:kern w:val="0"/>
                <w:sz w:val="30"/>
                <w:szCs w:val="30"/>
                <w:highlight w:val="none"/>
                <w:lang w:val="en-US" w:bidi="ar"/>
              </w:rPr>
            </w:pPr>
            <w:r>
              <w:rPr>
                <w:rFonts w:hint="eastAsia" w:ascii="仿宋_GB2312" w:hAnsi="仿宋_GB2312" w:eastAsia="仿宋_GB2312" w:cs="仿宋_GB2312"/>
                <w:color w:val="auto"/>
                <w:kern w:val="0"/>
                <w:sz w:val="30"/>
                <w:szCs w:val="30"/>
                <w:highlight w:val="none"/>
                <w:lang w:val="en-US" w:eastAsia="zh-CN" w:bidi="ar"/>
              </w:rPr>
              <w:t>1117967</w:t>
            </w:r>
          </w:p>
        </w:tc>
        <w:tc>
          <w:tcPr>
            <w:tcW w:w="2139" w:type="dxa"/>
            <w:noWrap w:val="0"/>
            <w:vAlign w:val="center"/>
          </w:tcPr>
          <w:p>
            <w:pPr>
              <w:widowControl/>
              <w:numPr>
                <w:ilvl w:val="0"/>
                <w:numId w:val="0"/>
              </w:numPr>
              <w:spacing w:line="480" w:lineRule="auto"/>
              <w:ind w:leftChars="0"/>
              <w:jc w:val="center"/>
              <w:textAlignment w:val="center"/>
              <w:rPr>
                <w:rFonts w:hint="eastAsia" w:ascii="仿宋_GB2312" w:hAnsi="仿宋_GB2312" w:eastAsia="仿宋_GB2312" w:cs="仿宋_GB2312"/>
                <w:color w:val="auto"/>
                <w:kern w:val="0"/>
                <w:sz w:val="30"/>
                <w:szCs w:val="30"/>
                <w:highlight w:val="none"/>
                <w:lang w:val="en-US" w:bidi="ar"/>
              </w:rPr>
            </w:pPr>
            <w:r>
              <w:rPr>
                <w:rFonts w:hint="eastAsia" w:ascii="仿宋_GB2312" w:hAnsi="仿宋_GB2312" w:eastAsia="仿宋_GB2312" w:cs="仿宋_GB2312"/>
                <w:color w:val="auto"/>
                <w:kern w:val="0"/>
                <w:sz w:val="30"/>
                <w:szCs w:val="30"/>
                <w:highlight w:val="none"/>
                <w:lang w:val="en-US" w:eastAsia="zh-CN" w:bidi="ar"/>
              </w:rPr>
              <w:t>297634</w:t>
            </w:r>
          </w:p>
        </w:tc>
        <w:tc>
          <w:tcPr>
            <w:tcW w:w="2141" w:type="dxa"/>
            <w:noWrap w:val="0"/>
            <w:vAlign w:val="center"/>
          </w:tcPr>
          <w:p>
            <w:pPr>
              <w:widowControl/>
              <w:numPr>
                <w:ilvl w:val="0"/>
                <w:numId w:val="0"/>
              </w:numPr>
              <w:spacing w:line="480" w:lineRule="auto"/>
              <w:ind w:leftChars="0"/>
              <w:jc w:val="center"/>
              <w:textAlignment w:val="center"/>
              <w:rPr>
                <w:rFonts w:hint="eastAsia" w:ascii="仿宋_GB2312" w:hAnsi="仿宋_GB2312" w:eastAsia="仿宋_GB2312" w:cs="仿宋_GB2312"/>
                <w:color w:val="auto"/>
                <w:kern w:val="0"/>
                <w:sz w:val="30"/>
                <w:szCs w:val="30"/>
                <w:highlight w:val="none"/>
                <w:lang w:bidi="ar"/>
              </w:rPr>
            </w:pPr>
            <w:r>
              <w:rPr>
                <w:rFonts w:hint="eastAsia" w:ascii="仿宋_GB2312" w:hAnsi="仿宋_GB2312" w:eastAsia="仿宋_GB2312" w:cs="仿宋_GB2312"/>
                <w:color w:val="auto"/>
                <w:kern w:val="0"/>
                <w:sz w:val="30"/>
                <w:szCs w:val="30"/>
                <w:highlight w:val="none"/>
                <w:lang w:val="en-US" w:eastAsia="zh-CN" w:bidi="ar"/>
              </w:rPr>
              <w:t>820333</w:t>
            </w:r>
          </w:p>
        </w:tc>
      </w:tr>
    </w:tbl>
    <w:p>
      <w:pPr>
        <w:rPr>
          <w:rFonts w:hint="eastAsia" w:asciiTheme="minorAscii" w:hAnsiTheme="minorAscii" w:eastAsiaTheme="minorEastAsia"/>
          <w:snapToGrid w:val="0"/>
          <w:kern w:val="0"/>
          <w:sz w:val="21"/>
        </w:rPr>
      </w:pPr>
    </w:p>
    <w:p>
      <w:pPr>
        <w:rPr>
          <w:rFonts w:hint="eastAsia" w:asciiTheme="minorAscii" w:hAnsiTheme="minorAscii" w:eastAsiaTheme="minorEastAsia"/>
          <w:snapToGrid w:val="0"/>
          <w:kern w:val="0"/>
          <w:sz w:val="21"/>
        </w:rPr>
      </w:pPr>
    </w:p>
    <w:p>
      <w:pPr>
        <w:rPr>
          <w:rFonts w:hint="eastAsia" w:asciiTheme="minorAscii" w:hAnsiTheme="minorAscii" w:eastAsiaTheme="minorEastAsia"/>
          <w:snapToGrid w:val="0"/>
          <w:kern w:val="0"/>
          <w:sz w:val="21"/>
        </w:rPr>
      </w:pPr>
      <w:r>
        <w:rPr>
          <w:rFonts w:hint="eastAsia" w:asciiTheme="minorAscii" w:hAnsiTheme="minorAscii" w:eastAsiaTheme="minorEastAsia"/>
          <w:snapToGrid w:val="0"/>
          <w:kern w:val="0"/>
          <w:sz w:val="21"/>
        </w:rPr>
        <w:br w:type="page"/>
      </w:r>
    </w:p>
    <w:p>
      <w:pPr>
        <w:adjustRightInd w:val="0"/>
        <w:snapToGrid w:val="0"/>
        <w:spacing w:after="156" w:afterLines="50"/>
        <w:jc w:val="both"/>
        <w:rPr>
          <w:rFonts w:hint="eastAsia" w:ascii="黑体" w:hAnsi="Times New Roman" w:eastAsia="黑体" w:cs="Times New Roman"/>
          <w:color w:val="auto"/>
          <w:sz w:val="32"/>
          <w:szCs w:val="32"/>
          <w:highlight w:val="none"/>
          <w:lang w:eastAsia="zh-CN"/>
        </w:rPr>
      </w:pPr>
      <w:r>
        <w:rPr>
          <w:rFonts w:hint="eastAsia" w:ascii="黑体" w:hAnsi="Times New Roman" w:eastAsia="黑体" w:cs="Times New Roman"/>
          <w:color w:val="auto"/>
          <w:sz w:val="32"/>
          <w:szCs w:val="32"/>
          <w:highlight w:val="none"/>
        </w:rPr>
        <w:t>附表7</w:t>
      </w:r>
      <w:r>
        <w:rPr>
          <w:rFonts w:hint="eastAsia" w:ascii="黑体" w:hAnsi="Times New Roman" w:eastAsia="黑体"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80" w:lineRule="exact"/>
        <w:jc w:val="both"/>
        <w:rPr>
          <w:rFonts w:hint="eastAsia" w:ascii="方正大标宋简体" w:hAnsi="仿宋" w:eastAsia="方正大标宋简体" w:cs="仿宋"/>
          <w:color w:val="auto"/>
          <w:spacing w:val="0"/>
          <w:kern w:val="2"/>
          <w:sz w:val="44"/>
          <w:lang w:val="en-US" w:eastAsia="zh-CN" w:bidi="ar-SA"/>
        </w:rPr>
      </w:pPr>
      <w:r>
        <w:rPr>
          <w:rFonts w:hint="eastAsia" w:ascii="方正大标宋简体" w:hAnsi="仿宋" w:eastAsia="方正大标宋简体" w:cs="仿宋"/>
          <w:color w:val="auto"/>
          <w:spacing w:val="0"/>
          <w:kern w:val="2"/>
          <w:sz w:val="44"/>
          <w:lang w:val="en-US" w:eastAsia="zh-CN" w:bidi="ar-SA"/>
        </w:rPr>
        <w:t>淅川县2024年一般公共预算收入表（草案）</w:t>
      </w:r>
    </w:p>
    <w:p>
      <w:pPr>
        <w:spacing w:line="500" w:lineRule="exact"/>
        <w:ind w:right="278"/>
        <w:jc w:val="right"/>
        <w:rPr>
          <w:rFonts w:ascii="楷体_GB2312" w:hAnsi="Times New Roman" w:eastAsia="楷体_GB2312" w:cs="Times New Roman"/>
          <w:b/>
          <w:color w:val="auto"/>
          <w:sz w:val="24"/>
          <w:szCs w:val="24"/>
        </w:rPr>
      </w:pPr>
      <w:r>
        <w:rPr>
          <w:rFonts w:hint="eastAsia" w:ascii="楷体_GB2312" w:hAnsi="Times New Roman" w:eastAsia="楷体_GB2312" w:cs="Times New Roman"/>
          <w:b/>
          <w:color w:val="auto"/>
          <w:sz w:val="24"/>
          <w:szCs w:val="24"/>
        </w:rPr>
        <w:t>单位：万元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4"/>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164" w:type="dxa"/>
            <w:noWrap w:val="0"/>
            <w:vAlign w:val="center"/>
          </w:tcPr>
          <w:p>
            <w:pPr>
              <w:widowControl/>
              <w:jc w:val="center"/>
              <w:textAlignment w:val="center"/>
              <w:rPr>
                <w:rFonts w:hint="eastAsia" w:ascii="黑体" w:hAnsi="黑体" w:eastAsia="黑体" w:cs="黑体"/>
                <w:b w:val="0"/>
                <w:bCs/>
                <w:color w:val="auto"/>
                <w:sz w:val="24"/>
                <w:szCs w:val="24"/>
              </w:rPr>
            </w:pPr>
            <w:r>
              <w:rPr>
                <w:rFonts w:hint="eastAsia" w:ascii="黑体" w:hAnsi="黑体" w:eastAsia="黑体" w:cs="黑体"/>
                <w:b w:val="0"/>
                <w:bCs/>
                <w:color w:val="auto"/>
                <w:kern w:val="0"/>
                <w:sz w:val="28"/>
                <w:szCs w:val="28"/>
                <w:lang w:bidi="ar"/>
              </w:rPr>
              <w:t>项        目</w:t>
            </w:r>
          </w:p>
        </w:tc>
        <w:tc>
          <w:tcPr>
            <w:tcW w:w="3375" w:type="dxa"/>
            <w:noWrap w:val="0"/>
            <w:vAlign w:val="center"/>
          </w:tcPr>
          <w:p>
            <w:pPr>
              <w:widowControl/>
              <w:jc w:val="center"/>
              <w:textAlignment w:val="center"/>
              <w:rPr>
                <w:rFonts w:hint="eastAsia" w:ascii="黑体" w:hAnsi="黑体" w:eastAsia="黑体" w:cs="黑体"/>
                <w:b w:val="0"/>
                <w:bCs/>
                <w:color w:val="auto"/>
                <w:sz w:val="24"/>
                <w:szCs w:val="24"/>
              </w:rPr>
            </w:pPr>
            <w:r>
              <w:rPr>
                <w:rFonts w:hint="eastAsia" w:ascii="黑体" w:hAnsi="黑体" w:eastAsia="黑体" w:cs="黑体"/>
                <w:b w:val="0"/>
                <w:bCs/>
                <w:color w:val="auto"/>
                <w:kern w:val="0"/>
                <w:sz w:val="28"/>
                <w:szCs w:val="28"/>
                <w:lang w:bidi="ar"/>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Times New Roman" w:eastAsia="仿宋_GB2312" w:cs="Times New Roman"/>
                <w:b/>
                <w:color w:val="auto"/>
                <w:sz w:val="24"/>
                <w:szCs w:val="24"/>
              </w:rPr>
            </w:pPr>
            <w:r>
              <w:rPr>
                <w:rFonts w:hint="eastAsia" w:ascii="仿宋_GB2312" w:hAnsi="Tahoma" w:eastAsia="仿宋_GB2312" w:cs="仿宋_GB2312"/>
                <w:b/>
                <w:color w:val="auto"/>
                <w:kern w:val="0"/>
                <w:sz w:val="24"/>
                <w:szCs w:val="24"/>
                <w:lang w:bidi="ar"/>
              </w:rPr>
              <w:t>一般公共预算收入</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
                <w:color w:val="auto"/>
                <w:kern w:val="2"/>
                <w:sz w:val="24"/>
                <w:szCs w:val="24"/>
                <w:lang w:val="en-US" w:eastAsia="zh-CN" w:bidi="ar-SA"/>
              </w:rPr>
            </w:pPr>
            <w:r>
              <w:rPr>
                <w:rFonts w:hint="eastAsia" w:ascii="仿宋_GB2312" w:hAnsi="Times New Roman" w:eastAsia="仿宋_GB2312" w:cs="Times New Roman"/>
                <w:b/>
                <w:color w:val="auto"/>
                <w:kern w:val="2"/>
                <w:sz w:val="24"/>
                <w:szCs w:val="24"/>
                <w:lang w:val="en-US" w:eastAsia="zh-CN" w:bidi="ar-SA"/>
              </w:rPr>
              <w:t>179800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b/>
                <w:bCs/>
                <w:color w:val="auto"/>
                <w:kern w:val="0"/>
                <w:sz w:val="24"/>
                <w:szCs w:val="24"/>
                <w:lang w:bidi="ar"/>
              </w:rPr>
              <w:t>一、税收收入</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ahoma" w:eastAsia="仿宋_GB2312" w:cs="仿宋_GB2312"/>
                <w:b/>
                <w:bCs/>
                <w:color w:val="auto"/>
                <w:kern w:val="0"/>
                <w:sz w:val="24"/>
                <w:szCs w:val="24"/>
                <w:lang w:val="en-US" w:eastAsia="zh-CN" w:bidi="ar"/>
              </w:rPr>
              <w:t>116800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增值税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52830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企业所得税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6035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个人所得税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1643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资源税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11582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城市维护建设税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3962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房产税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1557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印花税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城镇土地使用税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2172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土地增值税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17054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ahoma" w:eastAsia="仿宋_GB2312" w:cs="仿宋_GB2312"/>
                <w:color w:val="auto"/>
                <w:kern w:val="0"/>
                <w:sz w:val="24"/>
                <w:szCs w:val="24"/>
                <w:lang w:eastAsia="zh-CN" w:bidi="ar"/>
              </w:rPr>
            </w:pPr>
            <w:r>
              <w:rPr>
                <w:rFonts w:hint="eastAsia" w:ascii="仿宋_GB2312" w:hAnsi="Tahoma" w:eastAsia="仿宋_GB2312" w:cs="仿宋_GB2312"/>
                <w:color w:val="auto"/>
                <w:kern w:val="0"/>
                <w:sz w:val="24"/>
                <w:szCs w:val="24"/>
                <w:lang w:eastAsia="zh-CN" w:bidi="ar"/>
              </w:rPr>
              <w:t>车船税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耕地占用税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7790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ahoma" w:eastAsia="仿宋_GB2312" w:cs="仿宋_GB2312"/>
                <w:color w:val="auto"/>
                <w:kern w:val="0"/>
                <w:sz w:val="24"/>
                <w:szCs w:val="24"/>
                <w:lang w:bidi="ar"/>
              </w:rPr>
              <w:t>契税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6847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ahoma" w:eastAsia="仿宋_GB2312" w:cs="仿宋_GB2312"/>
                <w:color w:val="auto"/>
                <w:kern w:val="0"/>
                <w:sz w:val="24"/>
                <w:szCs w:val="24"/>
                <w:lang w:val="en-US" w:eastAsia="zh-CN" w:bidi="ar"/>
              </w:rPr>
            </w:pPr>
            <w:r>
              <w:rPr>
                <w:rFonts w:hint="eastAsia" w:ascii="仿宋_GB2312" w:hAnsi="Tahoma" w:eastAsia="仿宋_GB2312" w:cs="仿宋_GB2312"/>
                <w:color w:val="auto"/>
                <w:kern w:val="0"/>
                <w:sz w:val="24"/>
                <w:szCs w:val="24"/>
                <w:lang w:bidi="ar"/>
              </w:rPr>
              <w:t>烟叶税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ahoma" w:eastAsia="仿宋_GB2312" w:cs="仿宋_GB2312"/>
                <w:bCs/>
                <w:color w:val="auto"/>
                <w:kern w:val="0"/>
                <w:sz w:val="24"/>
                <w:szCs w:val="24"/>
                <w:lang w:val="en-US" w:eastAsia="zh-CN" w:bidi="ar"/>
              </w:rPr>
            </w:pPr>
            <w:r>
              <w:rPr>
                <w:rFonts w:hint="eastAsia" w:ascii="仿宋_GB2312" w:hAnsi="Tahoma" w:eastAsia="仿宋_GB2312" w:cs="仿宋_GB2312"/>
                <w:bCs/>
                <w:color w:val="auto"/>
                <w:kern w:val="0"/>
                <w:sz w:val="24"/>
                <w:szCs w:val="24"/>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环境保护税</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_GB2312" w:hAnsi="Tahoma" w:eastAsia="仿宋_GB2312" w:cs="仿宋_GB2312"/>
                <w:color w:val="auto"/>
                <w:kern w:val="0"/>
                <w:sz w:val="24"/>
                <w:szCs w:val="24"/>
                <w:lang w:bidi="ar"/>
              </w:rPr>
            </w:pPr>
            <w:r>
              <w:rPr>
                <w:rFonts w:hint="eastAsia" w:ascii="仿宋_GB2312" w:hAnsi="Tahoma" w:eastAsia="仿宋_GB2312" w:cs="仿宋_GB2312"/>
                <w:b/>
                <w:bCs/>
                <w:color w:val="auto"/>
                <w:kern w:val="0"/>
                <w:sz w:val="24"/>
                <w:szCs w:val="24"/>
                <w:lang w:bidi="ar"/>
              </w:rPr>
              <w:t>二、非税收入</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ahoma" w:eastAsia="仿宋_GB2312" w:cs="仿宋_GB2312"/>
                <w:bCs/>
                <w:color w:val="auto"/>
                <w:kern w:val="0"/>
                <w:sz w:val="24"/>
                <w:szCs w:val="24"/>
                <w:lang w:val="en-US" w:eastAsia="zh-CN" w:bidi="ar"/>
              </w:rPr>
            </w:pPr>
            <w:r>
              <w:rPr>
                <w:rFonts w:hint="eastAsia" w:ascii="仿宋_GB2312" w:hAnsi="Tahoma" w:eastAsia="仿宋_GB2312" w:cs="仿宋_GB2312"/>
                <w:b/>
                <w:bCs/>
                <w:color w:val="auto"/>
                <w:kern w:val="0"/>
                <w:sz w:val="24"/>
                <w:szCs w:val="24"/>
                <w:lang w:val="en-US" w:eastAsia="zh-CN" w:bidi="ar"/>
              </w:rPr>
              <w:t>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ahoma" w:eastAsia="仿宋_GB2312" w:cs="仿宋_GB2312"/>
                <w:color w:val="auto"/>
                <w:kern w:val="0"/>
                <w:sz w:val="24"/>
                <w:szCs w:val="24"/>
                <w:lang w:bidi="ar"/>
              </w:rPr>
            </w:pPr>
            <w:r>
              <w:rPr>
                <w:rFonts w:hint="eastAsia" w:ascii="仿宋_GB2312" w:hAnsi="Tahoma" w:eastAsia="仿宋_GB2312" w:cs="仿宋_GB2312"/>
                <w:color w:val="auto"/>
                <w:kern w:val="0"/>
                <w:sz w:val="24"/>
                <w:szCs w:val="24"/>
                <w:lang w:bidi="ar"/>
              </w:rPr>
              <w:t>专项收入</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ahoma" w:eastAsia="仿宋_GB2312" w:cs="仿宋_GB2312"/>
                <w:bCs/>
                <w:color w:val="auto"/>
                <w:kern w:val="0"/>
                <w:sz w:val="24"/>
                <w:szCs w:val="24"/>
                <w:lang w:val="en-US" w:eastAsia="zh-CN" w:bidi="ar"/>
              </w:rPr>
            </w:pPr>
            <w:r>
              <w:rPr>
                <w:rFonts w:hint="eastAsia" w:ascii="仿宋_GB2312" w:hAnsi="Tahoma" w:eastAsia="仿宋_GB2312" w:cs="仿宋_GB2312"/>
                <w:bCs/>
                <w:color w:val="auto"/>
                <w:kern w:val="0"/>
                <w:sz w:val="24"/>
                <w:szCs w:val="24"/>
                <w:lang w:val="en-US" w:eastAsia="zh-CN" w:bidi="ar"/>
              </w:rPr>
              <w:t>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行政事业性收费收入</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20076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罚没收入</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4276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lang w:eastAsia="zh-CN"/>
              </w:rPr>
            </w:pPr>
            <w:r>
              <w:rPr>
                <w:rFonts w:hint="eastAsia" w:ascii="仿宋_GB2312" w:hAnsi="Tahoma" w:eastAsia="仿宋_GB2312" w:cs="仿宋_GB2312"/>
                <w:color w:val="auto"/>
                <w:kern w:val="0"/>
                <w:sz w:val="24"/>
                <w:szCs w:val="24"/>
                <w:lang w:bidi="ar"/>
              </w:rPr>
              <w:t>国有资源（资产）有偿使用</w:t>
            </w:r>
            <w:r>
              <w:rPr>
                <w:rFonts w:hint="eastAsia" w:ascii="仿宋_GB2312" w:hAnsi="Tahoma" w:eastAsia="仿宋_GB2312" w:cs="仿宋_GB2312"/>
                <w:color w:val="auto"/>
                <w:kern w:val="0"/>
                <w:sz w:val="24"/>
                <w:szCs w:val="24"/>
                <w:lang w:eastAsia="zh-CN" w:bidi="ar"/>
              </w:rPr>
              <w:t>收入</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32883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6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center"/>
              <w:rPr>
                <w:rFonts w:hint="eastAsia" w:ascii="仿宋_GB2312" w:hAnsi="Times New Roman" w:eastAsia="仿宋_GB2312" w:cs="Times New Roman"/>
                <w:color w:val="auto"/>
                <w:sz w:val="24"/>
                <w:szCs w:val="24"/>
              </w:rPr>
            </w:pPr>
            <w:r>
              <w:rPr>
                <w:rFonts w:hint="eastAsia" w:ascii="仿宋_GB2312" w:hAnsi="Tahoma" w:eastAsia="仿宋_GB2312" w:cs="仿宋_GB2312"/>
                <w:color w:val="auto"/>
                <w:kern w:val="0"/>
                <w:sz w:val="24"/>
                <w:szCs w:val="24"/>
                <w:lang w:bidi="ar"/>
              </w:rPr>
              <w:t>政府住房基金收入</w:t>
            </w:r>
          </w:p>
        </w:tc>
        <w:tc>
          <w:tcPr>
            <w:tcW w:w="337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Times New Roman" w:eastAsia="仿宋_GB2312" w:cs="Times New Roman"/>
                <w:bCs/>
                <w:color w:val="auto"/>
                <w:kern w:val="2"/>
                <w:sz w:val="24"/>
                <w:szCs w:val="24"/>
                <w:lang w:val="en-US" w:eastAsia="zh-CN" w:bidi="ar-SA"/>
              </w:rPr>
            </w:pPr>
            <w:r>
              <w:rPr>
                <w:rFonts w:hint="eastAsia" w:ascii="仿宋_GB2312" w:hAnsi="Times New Roman" w:eastAsia="仿宋_GB2312" w:cs="Times New Roman"/>
                <w:bCs/>
                <w:color w:val="auto"/>
                <w:kern w:val="2"/>
                <w:sz w:val="24"/>
                <w:szCs w:val="24"/>
                <w:lang w:val="en-US" w:eastAsia="zh-CN" w:bidi="ar-SA"/>
              </w:rPr>
              <w:t>2435</w:t>
            </w:r>
          </w:p>
        </w:tc>
      </w:tr>
    </w:tbl>
    <w:p>
      <w:pPr>
        <w:rPr>
          <w:rFonts w:hint="eastAsia" w:asciiTheme="minorAscii" w:hAnsiTheme="minorAscii" w:eastAsiaTheme="minorEastAsia"/>
          <w:snapToGrid w:val="0"/>
          <w:kern w:val="0"/>
          <w:sz w:val="21"/>
        </w:rPr>
      </w:pPr>
      <w:r>
        <w:rPr>
          <w:rFonts w:hint="eastAsia" w:asciiTheme="minorAscii" w:hAnsiTheme="minorAscii" w:eastAsiaTheme="minorEastAsia"/>
          <w:snapToGrid w:val="0"/>
          <w:kern w:val="0"/>
          <w:sz w:val="21"/>
        </w:rPr>
        <w:br w:type="page"/>
      </w:r>
    </w:p>
    <w:p>
      <w:pPr>
        <w:adjustRightInd w:val="0"/>
        <w:snapToGrid w:val="0"/>
        <w:spacing w:after="156" w:afterLines="50"/>
        <w:jc w:val="both"/>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highlight w:val="none"/>
        </w:rPr>
        <w:t>附表8</w:t>
      </w:r>
      <w:r>
        <w:rPr>
          <w:rFonts w:hint="eastAsia" w:ascii="黑体" w:hAnsi="Times New Roman" w:eastAsia="黑体"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157" w:afterLines="50" w:line="580" w:lineRule="exact"/>
        <w:jc w:val="both"/>
        <w:textAlignment w:val="auto"/>
        <w:rPr>
          <w:rFonts w:hint="eastAsia" w:ascii="方正大标宋简体" w:hAnsi="仿宋" w:eastAsia="方正大标宋简体" w:cs="仿宋"/>
          <w:color w:val="auto"/>
          <w:spacing w:val="0"/>
          <w:kern w:val="2"/>
          <w:sz w:val="44"/>
          <w:lang w:val="en-US" w:eastAsia="zh-CN" w:bidi="ar-SA"/>
        </w:rPr>
      </w:pPr>
      <w:r>
        <w:rPr>
          <w:rFonts w:hint="eastAsia" w:ascii="方正大标宋简体" w:hAnsi="仿宋" w:eastAsia="方正大标宋简体" w:cs="仿宋"/>
          <w:color w:val="auto"/>
          <w:spacing w:val="0"/>
          <w:kern w:val="2"/>
          <w:sz w:val="44"/>
          <w:lang w:val="en-US" w:eastAsia="zh-CN" w:bidi="ar-SA"/>
        </w:rPr>
        <w:t>淅川县2024年一般公共预算支出表（草案）</w:t>
      </w:r>
    </w:p>
    <w:p>
      <w:pPr>
        <w:ind w:right="278"/>
        <w:jc w:val="right"/>
        <w:rPr>
          <w:rFonts w:ascii="楷体_GB2312" w:hAnsi="Times New Roman" w:eastAsia="楷体_GB2312" w:cs="Times New Roman"/>
          <w:b/>
          <w:color w:val="auto"/>
          <w:sz w:val="24"/>
          <w:szCs w:val="24"/>
        </w:rPr>
      </w:pPr>
      <w:r>
        <w:rPr>
          <w:rFonts w:hint="eastAsia" w:ascii="楷体_GB2312" w:hAnsi="Times New Roman" w:eastAsia="楷体_GB2312" w:cs="Times New Roman"/>
          <w:b/>
          <w:color w:val="auto"/>
          <w:sz w:val="24"/>
          <w:szCs w:val="24"/>
        </w:rPr>
        <w:t>单位：万元</w:t>
      </w:r>
    </w:p>
    <w:tbl>
      <w:tblPr>
        <w:tblStyle w:val="8"/>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7"/>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宋体" w:eastAsia="黑体" w:cs="宋体"/>
                <w:color w:val="auto"/>
                <w:kern w:val="0"/>
                <w:sz w:val="24"/>
                <w:szCs w:val="24"/>
              </w:rPr>
            </w:pPr>
            <w:r>
              <w:rPr>
                <w:rFonts w:hint="eastAsia" w:ascii="黑体" w:hAnsi="宋体" w:eastAsia="黑体" w:cs="宋体"/>
                <w:color w:val="auto"/>
                <w:kern w:val="0"/>
                <w:sz w:val="24"/>
                <w:szCs w:val="24"/>
              </w:rPr>
              <w:t>项    目</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宋体" w:eastAsia="黑体" w:cs="宋体"/>
                <w:color w:val="auto"/>
                <w:kern w:val="0"/>
                <w:sz w:val="24"/>
                <w:szCs w:val="24"/>
              </w:rPr>
            </w:pPr>
            <w:r>
              <w:rPr>
                <w:rFonts w:hint="eastAsia" w:ascii="黑体" w:hAnsi="宋体" w:eastAsia="黑体" w:cs="宋体"/>
                <w:color w:val="auto"/>
                <w:kern w:val="0"/>
                <w:sz w:val="24"/>
                <w:szCs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b/>
                <w:bCs/>
                <w:color w:val="auto"/>
                <w:kern w:val="0"/>
                <w:sz w:val="24"/>
                <w:szCs w:val="24"/>
              </w:rPr>
            </w:pPr>
            <w:r>
              <w:rPr>
                <w:rFonts w:hint="eastAsia" w:ascii="仿宋_GB2312" w:hAnsi="Tahoma" w:eastAsia="仿宋_GB2312" w:cs="仿宋_GB2312"/>
                <w:b/>
                <w:color w:val="auto"/>
                <w:kern w:val="0"/>
                <w:sz w:val="24"/>
                <w:szCs w:val="24"/>
                <w:lang w:bidi="ar"/>
              </w:rPr>
              <w:t>一般公共预算支出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b/>
                <w:color w:val="auto"/>
                <w:kern w:val="0"/>
                <w:sz w:val="24"/>
                <w:szCs w:val="24"/>
                <w:lang w:val="en-US" w:eastAsia="zh-CN" w:bidi="ar-SA"/>
              </w:rPr>
            </w:pPr>
            <w:r>
              <w:rPr>
                <w:rFonts w:hint="eastAsia" w:ascii="仿宋_GB2312" w:hAnsi="宋体" w:eastAsia="仿宋_GB2312" w:cs="宋体"/>
                <w:b/>
                <w:color w:val="auto"/>
                <w:kern w:val="0"/>
                <w:sz w:val="24"/>
                <w:szCs w:val="24"/>
                <w:lang w:val="en-US" w:eastAsia="zh-CN" w:bidi="ar-SA"/>
              </w:rPr>
              <w:t>375718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一、一般公共服务支出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38802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 xml:space="preserve">二、外交支出 </w:t>
            </w:r>
          </w:p>
        </w:tc>
        <w:tc>
          <w:tcPr>
            <w:tcW w:w="243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三、国防支出</w:t>
            </w:r>
          </w:p>
        </w:tc>
        <w:tc>
          <w:tcPr>
            <w:tcW w:w="243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四、公共安全支出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9918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五、教育支出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111313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六、科学技术支出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2448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七、文化旅游体育与传媒支出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2778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八、社会保障和就业支出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60129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九、卫生健康支出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16158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十、节能环保支出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11065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十一、城乡社区支出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11251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十二、农林水支出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66822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十三、交通运输支出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4161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十四、资源勘探</w:t>
            </w:r>
            <w:r>
              <w:rPr>
                <w:rFonts w:hint="eastAsia" w:ascii="仿宋_GB2312" w:hAnsi="Tahoma" w:eastAsia="仿宋_GB2312" w:cs="仿宋_GB2312"/>
                <w:color w:val="auto"/>
                <w:kern w:val="0"/>
                <w:sz w:val="24"/>
                <w:szCs w:val="24"/>
                <w:lang w:eastAsia="zh-CN" w:bidi="ar"/>
              </w:rPr>
              <w:t>工业</w:t>
            </w:r>
            <w:r>
              <w:rPr>
                <w:rFonts w:hint="eastAsia" w:ascii="仿宋_GB2312" w:hAnsi="Tahoma" w:eastAsia="仿宋_GB2312" w:cs="仿宋_GB2312"/>
                <w:color w:val="auto"/>
                <w:kern w:val="0"/>
                <w:sz w:val="24"/>
                <w:szCs w:val="24"/>
                <w:lang w:bidi="ar"/>
              </w:rPr>
              <w:t>信息等支出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十五、商业服务业等支出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十六、金融支出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十</w:t>
            </w:r>
            <w:r>
              <w:rPr>
                <w:rFonts w:hint="eastAsia" w:ascii="仿宋_GB2312" w:hAnsi="Tahoma" w:eastAsia="仿宋_GB2312" w:cs="仿宋_GB2312"/>
                <w:color w:val="auto"/>
                <w:kern w:val="0"/>
                <w:sz w:val="24"/>
                <w:szCs w:val="24"/>
                <w:lang w:eastAsia="zh-CN" w:bidi="ar"/>
              </w:rPr>
              <w:t>七</w:t>
            </w:r>
            <w:r>
              <w:rPr>
                <w:rFonts w:hint="eastAsia" w:ascii="仿宋_GB2312" w:hAnsi="Tahoma" w:eastAsia="仿宋_GB2312" w:cs="仿宋_GB2312"/>
                <w:color w:val="auto"/>
                <w:kern w:val="0"/>
                <w:sz w:val="24"/>
                <w:szCs w:val="24"/>
                <w:lang w:bidi="ar"/>
              </w:rPr>
              <w:t>、自然资源海洋气象等支出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4645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十</w:t>
            </w:r>
            <w:r>
              <w:rPr>
                <w:rFonts w:hint="eastAsia" w:ascii="仿宋_GB2312" w:hAnsi="Tahoma" w:eastAsia="仿宋_GB2312" w:cs="仿宋_GB2312"/>
                <w:color w:val="auto"/>
                <w:kern w:val="0"/>
                <w:sz w:val="24"/>
                <w:szCs w:val="24"/>
                <w:lang w:eastAsia="zh-CN" w:bidi="ar"/>
              </w:rPr>
              <w:t>八</w:t>
            </w:r>
            <w:r>
              <w:rPr>
                <w:rFonts w:hint="eastAsia" w:ascii="仿宋_GB2312" w:hAnsi="Tahoma" w:eastAsia="仿宋_GB2312" w:cs="仿宋_GB2312"/>
                <w:color w:val="auto"/>
                <w:kern w:val="0"/>
                <w:sz w:val="24"/>
                <w:szCs w:val="24"/>
                <w:lang w:bidi="ar"/>
              </w:rPr>
              <w:t>、住房保障支出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9590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eastAsia="zh-CN" w:bidi="ar"/>
              </w:rPr>
              <w:t>十九</w:t>
            </w:r>
            <w:r>
              <w:rPr>
                <w:rFonts w:hint="eastAsia" w:ascii="仿宋_GB2312" w:hAnsi="Tahoma" w:eastAsia="仿宋_GB2312" w:cs="仿宋_GB2312"/>
                <w:color w:val="auto"/>
                <w:kern w:val="0"/>
                <w:sz w:val="24"/>
                <w:szCs w:val="24"/>
                <w:lang w:bidi="ar"/>
              </w:rPr>
              <w:t>、粮油物资储备支出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Tahoma" w:eastAsia="仿宋_GB2312" w:cs="仿宋_GB2312"/>
                <w:color w:val="auto"/>
                <w:kern w:val="0"/>
                <w:sz w:val="24"/>
                <w:szCs w:val="24"/>
                <w:lang w:bidi="ar"/>
              </w:rPr>
            </w:pPr>
            <w:r>
              <w:rPr>
                <w:rFonts w:hint="eastAsia" w:ascii="仿宋_GB2312" w:hAnsi="Tahoma" w:eastAsia="仿宋_GB2312" w:cs="仿宋_GB2312"/>
                <w:color w:val="auto"/>
                <w:kern w:val="0"/>
                <w:sz w:val="24"/>
                <w:szCs w:val="24"/>
                <w:lang w:bidi="ar"/>
              </w:rPr>
              <w:t>二十、灾害防治及应急管理支出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Tahoma" w:eastAsia="仿宋_GB2312" w:cs="仿宋_GB2312"/>
                <w:color w:val="auto"/>
                <w:kern w:val="0"/>
                <w:sz w:val="24"/>
                <w:szCs w:val="24"/>
                <w:lang w:val="en-US" w:eastAsia="zh-CN" w:bidi="ar"/>
              </w:rPr>
            </w:pPr>
            <w:r>
              <w:rPr>
                <w:rFonts w:hint="eastAsia" w:ascii="仿宋_GB2312" w:hAnsi="Tahoma" w:eastAsia="仿宋_GB2312" w:cs="仿宋_GB2312"/>
                <w:color w:val="auto"/>
                <w:kern w:val="0"/>
                <w:sz w:val="24"/>
                <w:szCs w:val="24"/>
                <w:lang w:val="en-US" w:eastAsia="zh-CN" w:bidi="ar"/>
              </w:rPr>
              <w:t>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二十</w:t>
            </w:r>
            <w:r>
              <w:rPr>
                <w:rFonts w:hint="eastAsia" w:ascii="仿宋_GB2312" w:hAnsi="Tahoma" w:eastAsia="仿宋_GB2312" w:cs="仿宋_GB2312"/>
                <w:color w:val="auto"/>
                <w:kern w:val="0"/>
                <w:sz w:val="24"/>
                <w:szCs w:val="24"/>
                <w:lang w:eastAsia="zh-CN" w:bidi="ar"/>
              </w:rPr>
              <w:t>一</w:t>
            </w:r>
            <w:r>
              <w:rPr>
                <w:rFonts w:hint="eastAsia" w:ascii="仿宋_GB2312" w:hAnsi="Tahoma" w:eastAsia="仿宋_GB2312" w:cs="仿宋_GB2312"/>
                <w:color w:val="auto"/>
                <w:kern w:val="0"/>
                <w:sz w:val="24"/>
                <w:szCs w:val="24"/>
                <w:lang w:bidi="ar"/>
              </w:rPr>
              <w:t>、预备费</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auto"/>
                <w:kern w:val="0"/>
                <w:sz w:val="24"/>
                <w:szCs w:val="24"/>
              </w:rPr>
            </w:pPr>
            <w:r>
              <w:rPr>
                <w:rFonts w:hint="eastAsia" w:ascii="仿宋_GB2312" w:hAnsi="Tahoma" w:eastAsia="仿宋_GB2312" w:cs="仿宋_GB2312"/>
                <w:color w:val="auto"/>
                <w:kern w:val="0"/>
                <w:sz w:val="24"/>
                <w:szCs w:val="24"/>
                <w:lang w:bidi="ar"/>
              </w:rPr>
              <w:t>二十</w:t>
            </w:r>
            <w:r>
              <w:rPr>
                <w:rFonts w:hint="eastAsia" w:ascii="仿宋_GB2312" w:hAnsi="Tahoma" w:eastAsia="仿宋_GB2312" w:cs="仿宋_GB2312"/>
                <w:color w:val="auto"/>
                <w:kern w:val="0"/>
                <w:sz w:val="24"/>
                <w:szCs w:val="24"/>
                <w:lang w:eastAsia="zh-CN" w:bidi="ar"/>
              </w:rPr>
              <w:t>二</w:t>
            </w:r>
            <w:r>
              <w:rPr>
                <w:rFonts w:hint="eastAsia" w:ascii="仿宋_GB2312" w:hAnsi="Tahoma" w:eastAsia="仿宋_GB2312" w:cs="仿宋_GB2312"/>
                <w:color w:val="auto"/>
                <w:kern w:val="0"/>
                <w:sz w:val="24"/>
                <w:szCs w:val="24"/>
                <w:lang w:bidi="ar"/>
              </w:rPr>
              <w:t>、债务付息支出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9308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仿宋_GB2312" w:hAnsi="Tahoma" w:eastAsia="仿宋_GB2312" w:cs="仿宋_GB2312"/>
                <w:color w:val="auto"/>
                <w:kern w:val="0"/>
                <w:sz w:val="24"/>
                <w:szCs w:val="24"/>
                <w:lang w:val="en-US" w:eastAsia="zh-CN" w:bidi="ar"/>
              </w:rPr>
            </w:pPr>
            <w:r>
              <w:rPr>
                <w:rFonts w:hint="eastAsia" w:ascii="仿宋_GB2312" w:hAnsi="Tahoma" w:eastAsia="仿宋_GB2312" w:cs="仿宋_GB2312"/>
                <w:color w:val="auto"/>
                <w:kern w:val="0"/>
                <w:sz w:val="24"/>
                <w:szCs w:val="24"/>
                <w:lang w:bidi="ar"/>
              </w:rPr>
              <w:t>二十</w:t>
            </w:r>
            <w:r>
              <w:rPr>
                <w:rFonts w:hint="eastAsia" w:ascii="仿宋_GB2312" w:hAnsi="Tahoma" w:eastAsia="仿宋_GB2312" w:cs="仿宋_GB2312"/>
                <w:color w:val="auto"/>
                <w:kern w:val="0"/>
                <w:sz w:val="24"/>
                <w:szCs w:val="24"/>
                <w:lang w:val="en-US" w:eastAsia="zh-CN" w:bidi="ar"/>
              </w:rPr>
              <w:t>三</w:t>
            </w:r>
            <w:r>
              <w:rPr>
                <w:rFonts w:hint="eastAsia" w:ascii="仿宋_GB2312" w:hAnsi="Tahoma" w:eastAsia="仿宋_GB2312" w:cs="仿宋_GB2312"/>
                <w:color w:val="auto"/>
                <w:kern w:val="0"/>
                <w:sz w:val="24"/>
                <w:szCs w:val="24"/>
                <w:lang w:bidi="ar"/>
              </w:rPr>
              <w:t>、</w:t>
            </w:r>
            <w:r>
              <w:rPr>
                <w:rFonts w:hint="eastAsia" w:ascii="仿宋_GB2312" w:hAnsi="Tahoma" w:eastAsia="仿宋_GB2312" w:cs="仿宋_GB2312"/>
                <w:color w:val="auto"/>
                <w:kern w:val="0"/>
                <w:sz w:val="24"/>
                <w:szCs w:val="24"/>
                <w:lang w:val="en-US" w:eastAsia="zh-CN" w:bidi="ar"/>
              </w:rPr>
              <w:t>其他支出</w:t>
            </w:r>
          </w:p>
        </w:tc>
        <w:tc>
          <w:tcPr>
            <w:tcW w:w="24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3456</w:t>
            </w: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exact"/>
        <w:ind w:firstLine="482" w:firstLineChars="200"/>
        <w:jc w:val="both"/>
        <w:textAlignment w:val="auto"/>
        <w:rPr>
          <w:rFonts w:hint="eastAsia" w:ascii="仿宋_GB2312" w:hAnsi="宋体" w:eastAsia="仿宋_GB2312" w:cs="Times New Roman"/>
          <w:b/>
          <w:bCs/>
          <w:color w:val="auto"/>
          <w:sz w:val="24"/>
          <w:szCs w:val="24"/>
        </w:rPr>
      </w:pPr>
      <w:r>
        <w:rPr>
          <w:rFonts w:hint="eastAsia" w:ascii="仿宋_GB2312" w:hAnsi="宋体" w:eastAsia="仿宋_GB2312" w:cs="Times New Roman"/>
          <w:b/>
          <w:bCs/>
          <w:color w:val="auto"/>
          <w:sz w:val="24"/>
          <w:szCs w:val="24"/>
        </w:rPr>
        <w:t>注：202</w:t>
      </w:r>
      <w:r>
        <w:rPr>
          <w:rFonts w:hint="eastAsia" w:ascii="仿宋_GB2312" w:hAnsi="宋体" w:eastAsia="仿宋_GB2312" w:cs="Times New Roman"/>
          <w:b/>
          <w:bCs/>
          <w:color w:val="auto"/>
          <w:sz w:val="24"/>
          <w:szCs w:val="24"/>
          <w:lang w:val="en-US" w:eastAsia="zh-CN"/>
        </w:rPr>
        <w:t>4</w:t>
      </w:r>
      <w:r>
        <w:rPr>
          <w:rFonts w:hint="eastAsia" w:ascii="仿宋_GB2312" w:hAnsi="宋体" w:eastAsia="仿宋_GB2312" w:cs="Times New Roman"/>
          <w:b/>
          <w:bCs/>
          <w:color w:val="auto"/>
          <w:sz w:val="24"/>
          <w:szCs w:val="24"/>
        </w:rPr>
        <w:t>年一般公共预算支出资金来源包括一般公共预算本级收入、已下达的上级转移支付，不包括202</w:t>
      </w:r>
      <w:r>
        <w:rPr>
          <w:rFonts w:hint="eastAsia" w:ascii="仿宋_GB2312" w:hAnsi="宋体" w:eastAsia="仿宋_GB2312" w:cs="Times New Roman"/>
          <w:b/>
          <w:bCs/>
          <w:color w:val="auto"/>
          <w:sz w:val="24"/>
          <w:szCs w:val="24"/>
          <w:lang w:val="en-US" w:eastAsia="zh-CN"/>
        </w:rPr>
        <w:t>4</w:t>
      </w:r>
      <w:r>
        <w:rPr>
          <w:rFonts w:hint="eastAsia" w:ascii="仿宋_GB2312" w:hAnsi="宋体" w:eastAsia="仿宋_GB2312" w:cs="Times New Roman"/>
          <w:b/>
          <w:bCs/>
          <w:color w:val="auto"/>
          <w:sz w:val="24"/>
          <w:szCs w:val="24"/>
        </w:rPr>
        <w:t>年尚未下达的上级资金。</w:t>
      </w:r>
    </w:p>
    <w:p>
      <w:pPr>
        <w:rPr>
          <w:rFonts w:hint="eastAsia" w:asciiTheme="minorAscii" w:hAnsiTheme="minorAscii" w:eastAsiaTheme="minorEastAsia"/>
          <w:snapToGrid w:val="0"/>
          <w:kern w:val="0"/>
          <w:sz w:val="21"/>
        </w:rPr>
      </w:pPr>
      <w:r>
        <w:rPr>
          <w:rFonts w:hint="eastAsia" w:asciiTheme="minorAscii" w:hAnsiTheme="minorAscii" w:eastAsiaTheme="minorEastAsia"/>
          <w:snapToGrid w:val="0"/>
          <w:kern w:val="0"/>
          <w:sz w:val="21"/>
        </w:rPr>
        <w:br w:type="page"/>
      </w:r>
    </w:p>
    <w:p>
      <w:pPr>
        <w:adjustRightInd w:val="0"/>
        <w:snapToGrid w:val="0"/>
        <w:spacing w:after="156" w:afterLines="50"/>
        <w:jc w:val="both"/>
        <w:rPr>
          <w:rFonts w:hint="eastAsia" w:ascii="黑体" w:hAnsi="Times New Roman" w:eastAsia="黑体" w:cs="Times New Roman"/>
          <w:color w:val="auto"/>
          <w:sz w:val="32"/>
          <w:szCs w:val="32"/>
          <w:highlight w:val="none"/>
          <w:lang w:eastAsia="zh-CN"/>
        </w:rPr>
      </w:pPr>
      <w:r>
        <w:rPr>
          <w:rFonts w:hint="eastAsia" w:ascii="黑体" w:hAnsi="Times New Roman" w:eastAsia="黑体" w:cs="Times New Roman"/>
          <w:color w:val="auto"/>
          <w:sz w:val="32"/>
          <w:szCs w:val="32"/>
          <w:highlight w:val="none"/>
        </w:rPr>
        <w:t>附表9</w:t>
      </w:r>
      <w:r>
        <w:rPr>
          <w:rFonts w:hint="eastAsia" w:ascii="黑体" w:hAnsi="Times New Roman" w:eastAsia="黑体" w:cs="Times New Roman"/>
          <w:color w:val="auto"/>
          <w:sz w:val="32"/>
          <w:szCs w:val="32"/>
          <w:highlight w:val="none"/>
          <w:lang w:eastAsia="zh-CN"/>
        </w:rPr>
        <w:t>：</w:t>
      </w:r>
    </w:p>
    <w:p>
      <w:pPr>
        <w:adjustRightInd w:val="0"/>
        <w:snapToGrid w:val="0"/>
        <w:spacing w:after="156" w:afterLines="50"/>
        <w:jc w:val="both"/>
        <w:rPr>
          <w:rFonts w:hint="eastAsia" w:ascii="方正大标宋简体" w:hAnsi="仿宋" w:eastAsia="方正大标宋简体" w:cs="仿宋"/>
          <w:color w:val="auto"/>
          <w:spacing w:val="0"/>
          <w:sz w:val="44"/>
        </w:rPr>
      </w:pPr>
      <w:r>
        <w:rPr>
          <w:rFonts w:hint="eastAsia" w:ascii="方正大标宋简体" w:hAnsi="仿宋" w:eastAsia="方正大标宋简体" w:cs="仿宋"/>
          <w:color w:val="auto"/>
          <w:spacing w:val="0"/>
          <w:w w:val="95"/>
          <w:sz w:val="44"/>
        </w:rPr>
        <w:t>淅川县202</w:t>
      </w:r>
      <w:r>
        <w:rPr>
          <w:rFonts w:hint="eastAsia" w:ascii="方正大标宋简体" w:hAnsi="仿宋" w:eastAsia="方正大标宋简体" w:cs="仿宋"/>
          <w:color w:val="auto"/>
          <w:spacing w:val="0"/>
          <w:w w:val="95"/>
          <w:sz w:val="44"/>
          <w:lang w:val="en-US" w:eastAsia="zh-CN"/>
        </w:rPr>
        <w:t>4</w:t>
      </w:r>
      <w:r>
        <w:rPr>
          <w:rFonts w:hint="eastAsia" w:ascii="方正大标宋简体" w:hAnsi="仿宋" w:eastAsia="方正大标宋简体" w:cs="仿宋"/>
          <w:color w:val="auto"/>
          <w:spacing w:val="0"/>
          <w:w w:val="95"/>
          <w:sz w:val="44"/>
        </w:rPr>
        <w:t>年政府性基金预算收支表（草案）</w:t>
      </w:r>
    </w:p>
    <w:p>
      <w:pPr>
        <w:ind w:right="278"/>
        <w:jc w:val="both"/>
        <w:rPr>
          <w:rFonts w:hint="eastAsia" w:ascii="楷体_GB2312" w:hAnsi="Times New Roman" w:eastAsia="楷体_GB2312" w:cs="Times New Roman"/>
          <w:b/>
          <w:color w:val="auto"/>
          <w:sz w:val="24"/>
          <w:szCs w:val="24"/>
        </w:rPr>
      </w:pPr>
      <w:r>
        <w:rPr>
          <w:rFonts w:hint="eastAsia" w:ascii="Times New Roman" w:hAnsi="Times New Roman" w:eastAsia="宋体" w:cs="Times New Roman"/>
          <w:color w:val="auto"/>
        </w:rPr>
        <w:t xml:space="preserve">                                                                </w:t>
      </w:r>
      <w:r>
        <w:rPr>
          <w:rFonts w:hint="eastAsia" w:ascii="楷体_GB2312" w:hAnsi="Times New Roman" w:eastAsia="楷体_GB2312" w:cs="Times New Roman"/>
          <w:b/>
          <w:color w:val="auto"/>
          <w:sz w:val="32"/>
          <w:szCs w:val="32"/>
        </w:rPr>
        <w:t xml:space="preserve"> </w:t>
      </w:r>
      <w:r>
        <w:rPr>
          <w:rFonts w:hint="eastAsia" w:ascii="楷体_GB2312" w:hAnsi="Times New Roman" w:eastAsia="楷体_GB2312" w:cs="Times New Roman"/>
          <w:b/>
          <w:color w:val="auto"/>
          <w:sz w:val="24"/>
          <w:szCs w:val="24"/>
        </w:rPr>
        <w:t>单位：万元</w:t>
      </w:r>
    </w:p>
    <w:tbl>
      <w:tblPr>
        <w:tblStyle w:val="8"/>
        <w:tblW w:w="8794" w:type="dxa"/>
        <w:jc w:val="center"/>
        <w:tblLayout w:type="fixed"/>
        <w:tblCellMar>
          <w:top w:w="0" w:type="dxa"/>
          <w:left w:w="108" w:type="dxa"/>
          <w:bottom w:w="0" w:type="dxa"/>
          <w:right w:w="108" w:type="dxa"/>
        </w:tblCellMar>
      </w:tblPr>
      <w:tblGrid>
        <w:gridCol w:w="3725"/>
        <w:gridCol w:w="1050"/>
        <w:gridCol w:w="2885"/>
        <w:gridCol w:w="1134"/>
      </w:tblGrid>
      <w:tr>
        <w:tblPrEx>
          <w:tblCellMar>
            <w:top w:w="0" w:type="dxa"/>
            <w:left w:w="108" w:type="dxa"/>
            <w:bottom w:w="0" w:type="dxa"/>
            <w:right w:w="108" w:type="dxa"/>
          </w:tblCellMar>
        </w:tblPrEx>
        <w:trPr>
          <w:trHeight w:val="802" w:hRule="atLeast"/>
          <w:jc w:val="center"/>
        </w:trPr>
        <w:tc>
          <w:tcPr>
            <w:tcW w:w="3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rPr>
              <w:t>项    目</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rPr>
              <w:t>收</w:t>
            </w:r>
            <w:r>
              <w:rPr>
                <w:rFonts w:hint="eastAsia" w:ascii="黑体" w:hAnsi="宋体" w:eastAsia="黑体" w:cs="宋体"/>
                <w:color w:val="auto"/>
                <w:spacing w:val="0"/>
                <w:kern w:val="0"/>
                <w:sz w:val="24"/>
                <w:szCs w:val="24"/>
                <w:lang w:val="en-US" w:eastAsia="zh-CN"/>
              </w:rPr>
              <w:t xml:space="preserve">  </w:t>
            </w:r>
            <w:r>
              <w:rPr>
                <w:rFonts w:hint="eastAsia" w:ascii="黑体" w:hAnsi="宋体" w:eastAsia="黑体" w:cs="宋体"/>
                <w:color w:val="auto"/>
                <w:spacing w:val="0"/>
                <w:kern w:val="0"/>
                <w:sz w:val="24"/>
                <w:szCs w:val="24"/>
              </w:rPr>
              <w:t>入</w:t>
            </w:r>
          </w:p>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lang w:eastAsia="zh-CN"/>
              </w:rPr>
              <w:t>预算</w:t>
            </w:r>
            <w:r>
              <w:rPr>
                <w:rFonts w:hint="eastAsia" w:ascii="黑体" w:hAnsi="宋体" w:eastAsia="黑体" w:cs="宋体"/>
                <w:color w:val="auto"/>
                <w:spacing w:val="0"/>
                <w:kern w:val="0"/>
                <w:sz w:val="24"/>
                <w:szCs w:val="24"/>
              </w:rPr>
              <w:t>数</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rPr>
              <w:t>项    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rPr>
              <w:t>支</w:t>
            </w:r>
            <w:r>
              <w:rPr>
                <w:rFonts w:hint="eastAsia" w:ascii="黑体" w:hAnsi="宋体" w:eastAsia="黑体" w:cs="宋体"/>
                <w:color w:val="auto"/>
                <w:spacing w:val="0"/>
                <w:kern w:val="0"/>
                <w:sz w:val="24"/>
                <w:szCs w:val="24"/>
                <w:lang w:val="en-US" w:eastAsia="zh-CN"/>
              </w:rPr>
              <w:t xml:space="preserve">  </w:t>
            </w:r>
            <w:r>
              <w:rPr>
                <w:rFonts w:hint="eastAsia" w:ascii="黑体" w:hAnsi="宋体" w:eastAsia="黑体" w:cs="宋体"/>
                <w:color w:val="auto"/>
                <w:spacing w:val="0"/>
                <w:kern w:val="0"/>
                <w:sz w:val="24"/>
                <w:szCs w:val="24"/>
              </w:rPr>
              <w:t>出</w:t>
            </w:r>
          </w:p>
          <w:p>
            <w:pPr>
              <w:keepNext w:val="0"/>
              <w:keepLines w:val="0"/>
              <w:pageBreakBefore w:val="0"/>
              <w:widowControl/>
              <w:kinsoku/>
              <w:wordWrap/>
              <w:overflowPunct/>
              <w:topLinePunct w:val="0"/>
              <w:autoSpaceDE/>
              <w:autoSpaceDN/>
              <w:bidi w:val="0"/>
              <w:adjustRightInd/>
              <w:ind w:left="-63" w:leftChars="-30" w:right="-63" w:rightChars="-30"/>
              <w:jc w:val="center"/>
              <w:rPr>
                <w:rFonts w:hint="eastAsia" w:ascii="黑体" w:hAnsi="宋体" w:eastAsia="黑体" w:cs="宋体"/>
                <w:color w:val="auto"/>
                <w:spacing w:val="0"/>
                <w:kern w:val="0"/>
                <w:sz w:val="24"/>
                <w:szCs w:val="24"/>
              </w:rPr>
            </w:pPr>
            <w:r>
              <w:rPr>
                <w:rFonts w:hint="eastAsia" w:ascii="黑体" w:hAnsi="宋体" w:eastAsia="黑体" w:cs="宋体"/>
                <w:color w:val="auto"/>
                <w:spacing w:val="0"/>
                <w:kern w:val="0"/>
                <w:sz w:val="24"/>
                <w:szCs w:val="24"/>
                <w:lang w:eastAsia="zh-CN"/>
              </w:rPr>
              <w:t>预算</w:t>
            </w:r>
            <w:r>
              <w:rPr>
                <w:rFonts w:hint="eastAsia" w:ascii="黑体" w:hAnsi="宋体" w:eastAsia="黑体" w:cs="宋体"/>
                <w:color w:val="auto"/>
                <w:spacing w:val="0"/>
                <w:kern w:val="0"/>
                <w:sz w:val="24"/>
                <w:szCs w:val="24"/>
              </w:rPr>
              <w:t>数</w:t>
            </w:r>
          </w:p>
        </w:tc>
      </w:tr>
      <w:tr>
        <w:tblPrEx>
          <w:tblCellMar>
            <w:top w:w="0" w:type="dxa"/>
            <w:left w:w="108" w:type="dxa"/>
            <w:bottom w:w="0" w:type="dxa"/>
            <w:right w:w="108" w:type="dxa"/>
          </w:tblCellMar>
        </w:tblPrEx>
        <w:trPr>
          <w:trHeight w:val="945" w:hRule="atLeast"/>
          <w:jc w:val="center"/>
        </w:trPr>
        <w:tc>
          <w:tcPr>
            <w:tcW w:w="372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仿宋_GB2312" w:hAnsi="仿宋_GB2312" w:eastAsia="仿宋_GB2312" w:cs="仿宋_GB2312"/>
                <w:b/>
                <w:color w:val="auto"/>
                <w:spacing w:val="0"/>
                <w:kern w:val="0"/>
                <w:sz w:val="24"/>
                <w:szCs w:val="24"/>
              </w:rPr>
            </w:pPr>
            <w:r>
              <w:rPr>
                <w:rFonts w:hint="eastAsia" w:ascii="仿宋_GB2312" w:hAnsi="仿宋_GB2312" w:eastAsia="仿宋_GB2312" w:cs="仿宋_GB2312"/>
                <w:b/>
                <w:color w:val="auto"/>
                <w:spacing w:val="0"/>
                <w:kern w:val="0"/>
                <w:sz w:val="24"/>
                <w:szCs w:val="24"/>
                <w:lang w:bidi="ar"/>
              </w:rPr>
              <w:t>政府性基金预算收入</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b/>
                <w:color w:val="auto"/>
                <w:spacing w:val="0"/>
                <w:kern w:val="0"/>
                <w:sz w:val="24"/>
                <w:szCs w:val="24"/>
                <w:lang w:val="en-US" w:eastAsia="zh-CN" w:bidi="ar-SA"/>
              </w:rPr>
            </w:pPr>
            <w:r>
              <w:rPr>
                <w:rFonts w:hint="eastAsia" w:ascii="仿宋_GB2312" w:hAnsi="仿宋_GB2312" w:eastAsia="仿宋_GB2312" w:cs="仿宋_GB2312"/>
                <w:b/>
                <w:color w:val="auto"/>
                <w:spacing w:val="0"/>
                <w:kern w:val="0"/>
                <w:sz w:val="24"/>
                <w:szCs w:val="24"/>
                <w:lang w:val="en-US" w:eastAsia="zh-CN"/>
              </w:rPr>
              <w:t>80000</w:t>
            </w:r>
          </w:p>
        </w:tc>
        <w:tc>
          <w:tcPr>
            <w:tcW w:w="2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仿宋_GB2312" w:hAnsi="仿宋_GB2312" w:eastAsia="仿宋_GB2312" w:cs="仿宋_GB2312"/>
                <w:b/>
                <w:color w:val="auto"/>
                <w:spacing w:val="0"/>
                <w:kern w:val="0"/>
                <w:sz w:val="24"/>
                <w:szCs w:val="24"/>
              </w:rPr>
            </w:pPr>
            <w:r>
              <w:rPr>
                <w:rFonts w:hint="eastAsia" w:ascii="仿宋_GB2312" w:hAnsi="仿宋_GB2312" w:eastAsia="仿宋_GB2312" w:cs="仿宋_GB2312"/>
                <w:b/>
                <w:color w:val="auto"/>
                <w:spacing w:val="0"/>
                <w:kern w:val="0"/>
                <w:sz w:val="24"/>
                <w:szCs w:val="24"/>
                <w:lang w:bidi="ar"/>
              </w:rPr>
              <w:t>政府性基金预算支出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仿宋_GB2312" w:hAnsi="仿宋_GB2312" w:eastAsia="仿宋_GB2312" w:cs="仿宋_GB2312"/>
                <w:b/>
                <w:color w:val="auto"/>
                <w:spacing w:val="0"/>
                <w:kern w:val="0"/>
                <w:sz w:val="24"/>
                <w:szCs w:val="24"/>
              </w:rPr>
            </w:pPr>
            <w:r>
              <w:rPr>
                <w:rFonts w:hint="eastAsia" w:ascii="仿宋_GB2312" w:hAnsi="仿宋_GB2312" w:eastAsia="仿宋_GB2312" w:cs="仿宋_GB2312"/>
                <w:b/>
                <w:color w:val="auto"/>
                <w:spacing w:val="0"/>
                <w:kern w:val="0"/>
                <w:sz w:val="24"/>
                <w:szCs w:val="24"/>
                <w:lang w:val="en-US" w:eastAsia="zh-CN" w:bidi="ar"/>
              </w:rPr>
              <w:t>85379</w:t>
            </w:r>
          </w:p>
        </w:tc>
      </w:tr>
      <w:tr>
        <w:tblPrEx>
          <w:tblCellMar>
            <w:top w:w="0" w:type="dxa"/>
            <w:left w:w="108" w:type="dxa"/>
            <w:bottom w:w="0" w:type="dxa"/>
            <w:right w:w="108" w:type="dxa"/>
          </w:tblCellMar>
        </w:tblPrEx>
        <w:trPr>
          <w:trHeight w:val="778" w:hRule="atLeast"/>
          <w:jc w:val="center"/>
        </w:trPr>
        <w:tc>
          <w:tcPr>
            <w:tcW w:w="372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一、国家电影事业发展专项资金收入</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eastAsia" w:ascii="仿宋_GB2312" w:hAnsi="仿宋_GB2312" w:eastAsia="仿宋_GB2312" w:cs="仿宋_GB2312"/>
                <w:color w:val="auto"/>
                <w:spacing w:val="0"/>
                <w:kern w:val="0"/>
                <w:sz w:val="24"/>
                <w:szCs w:val="24"/>
                <w:lang w:val="en-US" w:eastAsia="zh-CN" w:bidi="ar-SA"/>
              </w:rPr>
            </w:pPr>
          </w:p>
        </w:tc>
        <w:tc>
          <w:tcPr>
            <w:tcW w:w="288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一、国家电影事业发展专项资金安排的支出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SA"/>
              </w:rPr>
            </w:pPr>
            <w:r>
              <w:rPr>
                <w:rFonts w:hint="eastAsia" w:ascii="仿宋_GB2312" w:hAnsi="仿宋_GB2312" w:eastAsia="仿宋_GB2312" w:cs="仿宋_GB2312"/>
                <w:color w:val="auto"/>
                <w:spacing w:val="0"/>
                <w:kern w:val="0"/>
                <w:sz w:val="24"/>
                <w:szCs w:val="24"/>
                <w:lang w:val="en-US" w:eastAsia="zh-CN" w:bidi="ar-SA"/>
              </w:rPr>
              <w:t>1</w:t>
            </w:r>
          </w:p>
        </w:tc>
      </w:tr>
      <w:tr>
        <w:tblPrEx>
          <w:tblCellMar>
            <w:top w:w="0" w:type="dxa"/>
            <w:left w:w="108" w:type="dxa"/>
            <w:bottom w:w="0" w:type="dxa"/>
            <w:right w:w="108" w:type="dxa"/>
          </w:tblCellMar>
        </w:tblPrEx>
        <w:trPr>
          <w:trHeight w:val="778" w:hRule="atLeast"/>
          <w:jc w:val="center"/>
        </w:trPr>
        <w:tc>
          <w:tcPr>
            <w:tcW w:w="372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eastAsia="zh-CN" w:bidi="ar"/>
              </w:rPr>
              <w:t>二</w:t>
            </w:r>
            <w:r>
              <w:rPr>
                <w:rFonts w:hint="eastAsia" w:ascii="仿宋_GB2312" w:hAnsi="仿宋_GB2312" w:eastAsia="仿宋_GB2312" w:cs="仿宋_GB2312"/>
                <w:color w:val="auto"/>
                <w:spacing w:val="0"/>
                <w:kern w:val="0"/>
                <w:sz w:val="24"/>
                <w:szCs w:val="24"/>
                <w:lang w:bidi="ar"/>
              </w:rPr>
              <w:t>、旅游发展基金收入</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eastAsia" w:ascii="仿宋_GB2312" w:hAnsi="仿宋_GB2312" w:eastAsia="仿宋_GB2312" w:cs="仿宋_GB2312"/>
                <w:color w:val="auto"/>
                <w:spacing w:val="0"/>
                <w:kern w:val="0"/>
                <w:sz w:val="24"/>
                <w:szCs w:val="24"/>
                <w:lang w:val="en-US" w:eastAsia="zh-CN" w:bidi="ar-SA"/>
              </w:rPr>
            </w:pPr>
          </w:p>
        </w:tc>
        <w:tc>
          <w:tcPr>
            <w:tcW w:w="288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eastAsia="zh-CN" w:bidi="ar"/>
              </w:rPr>
              <w:t>二</w:t>
            </w:r>
            <w:r>
              <w:rPr>
                <w:rFonts w:hint="eastAsia" w:ascii="仿宋_GB2312" w:hAnsi="仿宋_GB2312" w:eastAsia="仿宋_GB2312" w:cs="仿宋_GB2312"/>
                <w:color w:val="auto"/>
                <w:spacing w:val="0"/>
                <w:kern w:val="0"/>
                <w:sz w:val="24"/>
                <w:szCs w:val="24"/>
                <w:lang w:bidi="ar"/>
              </w:rPr>
              <w:t>、旅游发展基金支出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
              </w:rPr>
            </w:pPr>
          </w:p>
        </w:tc>
      </w:tr>
      <w:tr>
        <w:tblPrEx>
          <w:tblCellMar>
            <w:top w:w="0" w:type="dxa"/>
            <w:left w:w="108" w:type="dxa"/>
            <w:bottom w:w="0" w:type="dxa"/>
            <w:right w:w="108" w:type="dxa"/>
          </w:tblCellMar>
        </w:tblPrEx>
        <w:trPr>
          <w:trHeight w:val="766" w:hRule="atLeast"/>
          <w:jc w:val="center"/>
        </w:trPr>
        <w:tc>
          <w:tcPr>
            <w:tcW w:w="372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eastAsia="zh-CN" w:bidi="ar"/>
              </w:rPr>
              <w:t>三</w:t>
            </w:r>
            <w:r>
              <w:rPr>
                <w:rFonts w:hint="eastAsia" w:ascii="仿宋_GB2312" w:hAnsi="仿宋_GB2312" w:eastAsia="仿宋_GB2312" w:cs="仿宋_GB2312"/>
                <w:color w:val="auto"/>
                <w:spacing w:val="0"/>
                <w:kern w:val="0"/>
                <w:sz w:val="24"/>
                <w:szCs w:val="24"/>
                <w:lang w:bidi="ar"/>
              </w:rPr>
              <w:t>、大中型水库移民后期扶持基金收入</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eastAsia" w:ascii="仿宋_GB2312" w:hAnsi="仿宋_GB2312" w:eastAsia="仿宋_GB2312" w:cs="仿宋_GB2312"/>
                <w:color w:val="auto"/>
                <w:spacing w:val="0"/>
                <w:kern w:val="0"/>
                <w:sz w:val="24"/>
                <w:szCs w:val="24"/>
                <w:lang w:val="en-US" w:eastAsia="zh-CN" w:bidi="ar-SA"/>
              </w:rPr>
            </w:pPr>
          </w:p>
        </w:tc>
        <w:tc>
          <w:tcPr>
            <w:tcW w:w="288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eastAsia="zh-CN" w:bidi="ar"/>
              </w:rPr>
              <w:t>三</w:t>
            </w:r>
            <w:r>
              <w:rPr>
                <w:rFonts w:hint="eastAsia" w:ascii="仿宋_GB2312" w:hAnsi="仿宋_GB2312" w:eastAsia="仿宋_GB2312" w:cs="仿宋_GB2312"/>
                <w:color w:val="auto"/>
                <w:spacing w:val="0"/>
                <w:kern w:val="0"/>
                <w:sz w:val="24"/>
                <w:szCs w:val="24"/>
                <w:lang w:bidi="ar"/>
              </w:rPr>
              <w:t>、大中型水库移民后期扶持基金支出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SA"/>
              </w:rPr>
            </w:pPr>
            <w:r>
              <w:rPr>
                <w:rFonts w:hint="eastAsia" w:ascii="仿宋_GB2312" w:hAnsi="仿宋_GB2312" w:eastAsia="仿宋_GB2312" w:cs="仿宋_GB2312"/>
                <w:color w:val="auto"/>
                <w:spacing w:val="0"/>
                <w:kern w:val="0"/>
                <w:sz w:val="24"/>
                <w:szCs w:val="24"/>
                <w:lang w:val="en-US" w:eastAsia="zh-CN" w:bidi="ar-SA"/>
              </w:rPr>
              <w:t>5170</w:t>
            </w:r>
          </w:p>
        </w:tc>
      </w:tr>
      <w:tr>
        <w:tblPrEx>
          <w:tblCellMar>
            <w:top w:w="0" w:type="dxa"/>
            <w:left w:w="108" w:type="dxa"/>
            <w:bottom w:w="0" w:type="dxa"/>
            <w:right w:w="108" w:type="dxa"/>
          </w:tblCellMar>
        </w:tblPrEx>
        <w:trPr>
          <w:trHeight w:val="765" w:hRule="atLeast"/>
          <w:jc w:val="center"/>
        </w:trPr>
        <w:tc>
          <w:tcPr>
            <w:tcW w:w="372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eastAsia="zh-CN" w:bidi="ar"/>
              </w:rPr>
              <w:t>四</w:t>
            </w:r>
            <w:r>
              <w:rPr>
                <w:rFonts w:hint="eastAsia" w:ascii="仿宋_GB2312" w:hAnsi="仿宋_GB2312" w:eastAsia="仿宋_GB2312" w:cs="仿宋_GB2312"/>
                <w:color w:val="auto"/>
                <w:spacing w:val="0"/>
                <w:kern w:val="0"/>
                <w:sz w:val="24"/>
                <w:szCs w:val="24"/>
                <w:lang w:bidi="ar"/>
              </w:rPr>
              <w:t>、大中型水库库区基金相关收入</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eastAsia" w:ascii="仿宋_GB2312" w:hAnsi="仿宋_GB2312" w:eastAsia="仿宋_GB2312" w:cs="仿宋_GB2312"/>
                <w:color w:val="auto"/>
                <w:spacing w:val="0"/>
                <w:kern w:val="0"/>
                <w:sz w:val="24"/>
                <w:szCs w:val="24"/>
                <w:lang w:val="en-US" w:eastAsia="zh-CN" w:bidi="ar-SA"/>
              </w:rPr>
            </w:pPr>
          </w:p>
        </w:tc>
        <w:tc>
          <w:tcPr>
            <w:tcW w:w="288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eastAsia="zh-CN" w:bidi="ar"/>
              </w:rPr>
              <w:t>四</w:t>
            </w:r>
            <w:r>
              <w:rPr>
                <w:rFonts w:hint="eastAsia" w:ascii="仿宋_GB2312" w:hAnsi="仿宋_GB2312" w:eastAsia="仿宋_GB2312" w:cs="仿宋_GB2312"/>
                <w:color w:val="auto"/>
                <w:spacing w:val="0"/>
                <w:kern w:val="0"/>
                <w:sz w:val="24"/>
                <w:szCs w:val="24"/>
                <w:lang w:bidi="ar"/>
              </w:rPr>
              <w:t>、大中型水库库区基金安排的支出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仿宋_GB2312" w:hAnsi="仿宋_GB2312" w:eastAsia="仿宋_GB2312" w:cs="仿宋_GB2312"/>
                <w:color w:val="auto"/>
                <w:spacing w:val="0"/>
                <w:kern w:val="0"/>
                <w:sz w:val="24"/>
                <w:szCs w:val="24"/>
                <w:lang w:val="en-US" w:eastAsia="zh-CN" w:bidi="ar-SA"/>
              </w:rPr>
            </w:pPr>
          </w:p>
        </w:tc>
      </w:tr>
      <w:tr>
        <w:tblPrEx>
          <w:tblCellMar>
            <w:top w:w="0" w:type="dxa"/>
            <w:left w:w="108" w:type="dxa"/>
            <w:bottom w:w="0" w:type="dxa"/>
            <w:right w:w="108" w:type="dxa"/>
          </w:tblCellMar>
        </w:tblPrEx>
        <w:trPr>
          <w:trHeight w:val="742" w:hRule="atLeast"/>
          <w:jc w:val="center"/>
        </w:trPr>
        <w:tc>
          <w:tcPr>
            <w:tcW w:w="372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eastAsia="zh-CN" w:bidi="ar"/>
              </w:rPr>
              <w:t>五</w:t>
            </w:r>
            <w:r>
              <w:rPr>
                <w:rFonts w:hint="eastAsia" w:ascii="仿宋_GB2312" w:hAnsi="仿宋_GB2312" w:eastAsia="仿宋_GB2312" w:cs="仿宋_GB2312"/>
                <w:color w:val="auto"/>
                <w:spacing w:val="0"/>
                <w:kern w:val="0"/>
                <w:sz w:val="24"/>
                <w:szCs w:val="24"/>
                <w:lang w:bidi="ar"/>
              </w:rPr>
              <w:t>、国有土地使用权出让收入</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SA"/>
              </w:rPr>
            </w:pPr>
            <w:r>
              <w:rPr>
                <w:rFonts w:hint="eastAsia" w:ascii="仿宋_GB2312" w:hAnsi="仿宋_GB2312" w:eastAsia="仿宋_GB2312" w:cs="仿宋_GB2312"/>
                <w:color w:val="auto"/>
                <w:spacing w:val="0"/>
                <w:kern w:val="0"/>
                <w:sz w:val="24"/>
                <w:szCs w:val="24"/>
                <w:lang w:val="en-US" w:eastAsia="zh-CN"/>
              </w:rPr>
              <w:t>78947</w:t>
            </w:r>
          </w:p>
        </w:tc>
        <w:tc>
          <w:tcPr>
            <w:tcW w:w="288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eastAsia="zh-CN" w:bidi="ar"/>
              </w:rPr>
              <w:t>五</w:t>
            </w:r>
            <w:r>
              <w:rPr>
                <w:rFonts w:hint="eastAsia" w:ascii="仿宋_GB2312" w:hAnsi="仿宋_GB2312" w:eastAsia="仿宋_GB2312" w:cs="仿宋_GB2312"/>
                <w:color w:val="auto"/>
                <w:spacing w:val="0"/>
                <w:kern w:val="0"/>
                <w:sz w:val="24"/>
                <w:szCs w:val="24"/>
                <w:lang w:bidi="ar"/>
              </w:rPr>
              <w:t>、国有土地使用权出让收入安排的支出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SA"/>
              </w:rPr>
            </w:pPr>
            <w:r>
              <w:rPr>
                <w:rFonts w:hint="eastAsia" w:ascii="仿宋_GB2312" w:hAnsi="仿宋_GB2312" w:eastAsia="仿宋_GB2312" w:cs="仿宋_GB2312"/>
                <w:color w:val="auto"/>
                <w:spacing w:val="0"/>
                <w:kern w:val="0"/>
                <w:sz w:val="24"/>
                <w:szCs w:val="24"/>
                <w:lang w:val="en-US" w:eastAsia="zh-CN" w:bidi="ar-SA"/>
              </w:rPr>
              <w:t>51912</w:t>
            </w:r>
          </w:p>
        </w:tc>
      </w:tr>
      <w:tr>
        <w:tblPrEx>
          <w:tblCellMar>
            <w:top w:w="0" w:type="dxa"/>
            <w:left w:w="108" w:type="dxa"/>
            <w:bottom w:w="0" w:type="dxa"/>
            <w:right w:w="108" w:type="dxa"/>
          </w:tblCellMar>
        </w:tblPrEx>
        <w:trPr>
          <w:trHeight w:val="946" w:hRule="atLeast"/>
          <w:jc w:val="center"/>
        </w:trPr>
        <w:tc>
          <w:tcPr>
            <w:tcW w:w="372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lang w:eastAsia="zh-CN"/>
              </w:rPr>
            </w:pPr>
            <w:r>
              <w:rPr>
                <w:rFonts w:hint="eastAsia" w:ascii="仿宋_GB2312" w:hAnsi="仿宋_GB2312" w:eastAsia="仿宋_GB2312" w:cs="仿宋_GB2312"/>
                <w:color w:val="auto"/>
                <w:spacing w:val="0"/>
                <w:kern w:val="0"/>
                <w:sz w:val="24"/>
                <w:szCs w:val="24"/>
                <w:lang w:eastAsia="zh-CN" w:bidi="ar"/>
              </w:rPr>
              <w:t>六</w:t>
            </w:r>
            <w:r>
              <w:rPr>
                <w:rFonts w:hint="eastAsia" w:ascii="仿宋_GB2312" w:hAnsi="仿宋_GB2312" w:eastAsia="仿宋_GB2312" w:cs="仿宋_GB2312"/>
                <w:color w:val="auto"/>
                <w:spacing w:val="0"/>
                <w:kern w:val="0"/>
                <w:sz w:val="24"/>
                <w:szCs w:val="24"/>
                <w:lang w:bidi="ar"/>
              </w:rPr>
              <w:t>、</w:t>
            </w:r>
            <w:r>
              <w:rPr>
                <w:rFonts w:hint="eastAsia" w:ascii="仿宋_GB2312" w:hAnsi="仿宋_GB2312" w:eastAsia="仿宋_GB2312" w:cs="仿宋_GB2312"/>
                <w:color w:val="auto"/>
                <w:spacing w:val="0"/>
                <w:kern w:val="0"/>
                <w:sz w:val="24"/>
                <w:szCs w:val="24"/>
                <w:lang w:eastAsia="zh-CN" w:bidi="ar"/>
              </w:rPr>
              <w:t>棚户区改造专项债券对应项目专项收入</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仿宋_GB2312" w:hAnsi="仿宋_GB2312" w:eastAsia="仿宋_GB2312" w:cs="仿宋_GB2312"/>
                <w:color w:val="auto"/>
                <w:spacing w:val="0"/>
                <w:kern w:val="0"/>
                <w:sz w:val="24"/>
                <w:szCs w:val="24"/>
                <w:lang w:val="en-US" w:eastAsia="zh-CN" w:bidi="ar-SA"/>
              </w:rPr>
            </w:pPr>
          </w:p>
        </w:tc>
        <w:tc>
          <w:tcPr>
            <w:tcW w:w="288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eastAsia="zh-CN" w:bidi="ar"/>
              </w:rPr>
              <w:t>六</w:t>
            </w:r>
            <w:r>
              <w:rPr>
                <w:rFonts w:hint="eastAsia" w:ascii="仿宋_GB2312" w:hAnsi="仿宋_GB2312" w:eastAsia="仿宋_GB2312" w:cs="仿宋_GB2312"/>
                <w:color w:val="auto"/>
                <w:spacing w:val="0"/>
                <w:kern w:val="0"/>
                <w:sz w:val="24"/>
                <w:szCs w:val="24"/>
                <w:lang w:bidi="ar"/>
              </w:rPr>
              <w:t xml:space="preserve">、棚户区改造专项债券收入安排的支出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SA"/>
              </w:rPr>
            </w:pPr>
          </w:p>
        </w:tc>
      </w:tr>
      <w:tr>
        <w:tblPrEx>
          <w:tblCellMar>
            <w:top w:w="0" w:type="dxa"/>
            <w:left w:w="108" w:type="dxa"/>
            <w:bottom w:w="0" w:type="dxa"/>
            <w:right w:w="108" w:type="dxa"/>
          </w:tblCellMar>
        </w:tblPrEx>
        <w:trPr>
          <w:trHeight w:val="945" w:hRule="atLeast"/>
          <w:jc w:val="center"/>
        </w:trPr>
        <w:tc>
          <w:tcPr>
            <w:tcW w:w="372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default"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七、城市基础设施配套费收入</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default" w:ascii="仿宋_GB2312" w:hAnsi="仿宋_GB2312" w:eastAsia="仿宋_GB2312" w:cs="仿宋_GB2312"/>
                <w:color w:val="auto"/>
                <w:spacing w:val="0"/>
                <w:kern w:val="0"/>
                <w:sz w:val="24"/>
                <w:szCs w:val="24"/>
                <w:lang w:val="en-US" w:eastAsia="zh-CN" w:bidi="ar-SA"/>
              </w:rPr>
            </w:pPr>
            <w:r>
              <w:rPr>
                <w:rFonts w:hint="eastAsia" w:ascii="仿宋_GB2312" w:hAnsi="仿宋_GB2312" w:eastAsia="仿宋_GB2312" w:cs="仿宋_GB2312"/>
                <w:color w:val="auto"/>
                <w:spacing w:val="0"/>
                <w:kern w:val="0"/>
                <w:sz w:val="24"/>
                <w:szCs w:val="24"/>
                <w:lang w:val="en-US" w:eastAsia="zh-CN" w:bidi="ar-SA"/>
              </w:rPr>
              <w:t>973</w:t>
            </w:r>
          </w:p>
        </w:tc>
        <w:tc>
          <w:tcPr>
            <w:tcW w:w="288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default"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七、城市基础设施配套费支出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SA"/>
              </w:rPr>
            </w:pPr>
            <w:r>
              <w:rPr>
                <w:rFonts w:hint="eastAsia" w:ascii="仿宋_GB2312" w:hAnsi="仿宋_GB2312" w:eastAsia="仿宋_GB2312" w:cs="仿宋_GB2312"/>
                <w:color w:val="auto"/>
                <w:spacing w:val="0"/>
                <w:kern w:val="0"/>
                <w:sz w:val="24"/>
                <w:szCs w:val="24"/>
                <w:lang w:val="en-US" w:eastAsia="zh-CN" w:bidi="ar-SA"/>
              </w:rPr>
              <w:t>973</w:t>
            </w:r>
          </w:p>
        </w:tc>
      </w:tr>
      <w:tr>
        <w:tblPrEx>
          <w:tblCellMar>
            <w:top w:w="0" w:type="dxa"/>
            <w:left w:w="108" w:type="dxa"/>
            <w:bottom w:w="0" w:type="dxa"/>
            <w:right w:w="108" w:type="dxa"/>
          </w:tblCellMar>
        </w:tblPrEx>
        <w:trPr>
          <w:trHeight w:val="945" w:hRule="atLeast"/>
          <w:jc w:val="center"/>
        </w:trPr>
        <w:tc>
          <w:tcPr>
            <w:tcW w:w="372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default"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八、污水处理费收入</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default" w:ascii="仿宋_GB2312" w:hAnsi="仿宋_GB2312" w:eastAsia="仿宋_GB2312" w:cs="仿宋_GB2312"/>
                <w:color w:val="auto"/>
                <w:spacing w:val="0"/>
                <w:kern w:val="0"/>
                <w:sz w:val="24"/>
                <w:szCs w:val="24"/>
                <w:lang w:val="en-US" w:eastAsia="zh-CN" w:bidi="ar-SA"/>
              </w:rPr>
            </w:pPr>
            <w:r>
              <w:rPr>
                <w:rFonts w:hint="eastAsia" w:ascii="仿宋_GB2312" w:hAnsi="仿宋_GB2312" w:eastAsia="仿宋_GB2312" w:cs="仿宋_GB2312"/>
                <w:color w:val="auto"/>
                <w:spacing w:val="0"/>
                <w:kern w:val="0"/>
                <w:sz w:val="24"/>
                <w:szCs w:val="24"/>
                <w:lang w:val="en-US" w:eastAsia="zh-CN" w:bidi="ar-SA"/>
              </w:rPr>
              <w:t>80</w:t>
            </w:r>
          </w:p>
        </w:tc>
        <w:tc>
          <w:tcPr>
            <w:tcW w:w="288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default"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八、污水处理费安排的支出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SA"/>
              </w:rPr>
            </w:pPr>
            <w:r>
              <w:rPr>
                <w:rFonts w:hint="eastAsia" w:ascii="仿宋_GB2312" w:hAnsi="仿宋_GB2312" w:eastAsia="仿宋_GB2312" w:cs="仿宋_GB2312"/>
                <w:color w:val="auto"/>
                <w:spacing w:val="0"/>
                <w:kern w:val="0"/>
                <w:sz w:val="24"/>
                <w:szCs w:val="24"/>
                <w:lang w:val="en-US" w:eastAsia="zh-CN" w:bidi="ar-SA"/>
              </w:rPr>
              <w:t>80</w:t>
            </w:r>
          </w:p>
        </w:tc>
      </w:tr>
      <w:tr>
        <w:tblPrEx>
          <w:tblCellMar>
            <w:top w:w="0" w:type="dxa"/>
            <w:left w:w="108" w:type="dxa"/>
            <w:bottom w:w="0" w:type="dxa"/>
            <w:right w:w="108" w:type="dxa"/>
          </w:tblCellMar>
        </w:tblPrEx>
        <w:trPr>
          <w:trHeight w:val="797" w:hRule="atLeast"/>
          <w:jc w:val="center"/>
        </w:trPr>
        <w:tc>
          <w:tcPr>
            <w:tcW w:w="372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val="en-US" w:eastAsia="zh-CN" w:bidi="ar"/>
              </w:rPr>
              <w:t>九</w:t>
            </w:r>
            <w:r>
              <w:rPr>
                <w:rFonts w:hint="eastAsia" w:ascii="仿宋_GB2312" w:hAnsi="仿宋_GB2312" w:eastAsia="仿宋_GB2312" w:cs="仿宋_GB2312"/>
                <w:color w:val="auto"/>
                <w:spacing w:val="0"/>
                <w:kern w:val="0"/>
                <w:sz w:val="24"/>
                <w:szCs w:val="24"/>
                <w:lang w:bidi="ar"/>
              </w:rPr>
              <w:t>、彩票公益金收入</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jc w:val="center"/>
              <w:rPr>
                <w:rFonts w:hint="default" w:ascii="仿宋_GB2312" w:hAnsi="仿宋_GB2312" w:eastAsia="仿宋_GB2312" w:cs="仿宋_GB2312"/>
                <w:color w:val="auto"/>
                <w:spacing w:val="0"/>
                <w:kern w:val="0"/>
                <w:sz w:val="24"/>
                <w:szCs w:val="24"/>
                <w:lang w:val="en-US" w:eastAsia="zh-CN" w:bidi="ar-SA"/>
              </w:rPr>
            </w:pPr>
          </w:p>
        </w:tc>
        <w:tc>
          <w:tcPr>
            <w:tcW w:w="288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val="en-US" w:eastAsia="zh-CN" w:bidi="ar"/>
              </w:rPr>
              <w:t>九</w:t>
            </w:r>
            <w:r>
              <w:rPr>
                <w:rFonts w:hint="eastAsia" w:ascii="仿宋_GB2312" w:hAnsi="仿宋_GB2312" w:eastAsia="仿宋_GB2312" w:cs="仿宋_GB2312"/>
                <w:color w:val="auto"/>
                <w:spacing w:val="0"/>
                <w:kern w:val="0"/>
                <w:sz w:val="24"/>
                <w:szCs w:val="24"/>
                <w:lang w:bidi="ar"/>
              </w:rPr>
              <w:t>、彩票公益金安排的支出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208</w:t>
            </w:r>
          </w:p>
        </w:tc>
      </w:tr>
      <w:tr>
        <w:tblPrEx>
          <w:tblCellMar>
            <w:top w:w="0" w:type="dxa"/>
            <w:left w:w="108" w:type="dxa"/>
            <w:bottom w:w="0" w:type="dxa"/>
            <w:right w:w="108" w:type="dxa"/>
          </w:tblCellMar>
        </w:tblPrEx>
        <w:trPr>
          <w:trHeight w:val="839" w:hRule="atLeast"/>
          <w:jc w:val="center"/>
        </w:trPr>
        <w:tc>
          <w:tcPr>
            <w:tcW w:w="3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val="en-US" w:eastAsia="zh-CN" w:bidi="ar"/>
              </w:rPr>
              <w:t>十</w:t>
            </w:r>
            <w:r>
              <w:rPr>
                <w:rFonts w:hint="eastAsia" w:ascii="仿宋_GB2312" w:hAnsi="仿宋_GB2312" w:eastAsia="仿宋_GB2312" w:cs="仿宋_GB2312"/>
                <w:color w:val="auto"/>
                <w:spacing w:val="0"/>
                <w:kern w:val="0"/>
                <w:sz w:val="24"/>
                <w:szCs w:val="24"/>
                <w:lang w:bidi="ar"/>
              </w:rPr>
              <w:t>、其他政府性基金相关收入</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仿宋_GB2312" w:hAnsi="仿宋_GB2312" w:eastAsia="仿宋_GB2312" w:cs="仿宋_GB2312"/>
                <w:color w:val="auto"/>
                <w:spacing w:val="0"/>
                <w:kern w:val="0"/>
                <w:sz w:val="24"/>
                <w:szCs w:val="24"/>
                <w:lang w:val="en-US" w:eastAsia="zh-CN" w:bidi="ar-SA"/>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both"/>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val="en-US" w:eastAsia="zh-CN" w:bidi="ar"/>
              </w:rPr>
              <w:t>十</w:t>
            </w:r>
            <w:r>
              <w:rPr>
                <w:rFonts w:hint="eastAsia" w:ascii="仿宋_GB2312" w:hAnsi="仿宋_GB2312" w:eastAsia="仿宋_GB2312" w:cs="仿宋_GB2312"/>
                <w:color w:val="auto"/>
                <w:spacing w:val="0"/>
                <w:kern w:val="0"/>
                <w:sz w:val="24"/>
                <w:szCs w:val="24"/>
                <w:lang w:bidi="ar"/>
              </w:rPr>
              <w:t>、</w:t>
            </w:r>
            <w:r>
              <w:rPr>
                <w:rFonts w:hint="eastAsia" w:ascii="仿宋_GB2312" w:hAnsi="仿宋_GB2312" w:eastAsia="仿宋_GB2312" w:cs="仿宋_GB2312"/>
                <w:color w:val="auto"/>
                <w:spacing w:val="0"/>
                <w:kern w:val="0"/>
                <w:sz w:val="24"/>
                <w:szCs w:val="24"/>
                <w:lang w:eastAsia="zh-CN" w:bidi="ar"/>
              </w:rPr>
              <w:t>地方政府专项债务付息支出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jc w:val="center"/>
              <w:textAlignment w:val="center"/>
              <w:rPr>
                <w:rFonts w:hint="default" w:ascii="仿宋_GB2312" w:hAnsi="仿宋_GB2312" w:eastAsia="仿宋_GB2312" w:cs="仿宋_GB2312"/>
                <w:color w:val="auto"/>
                <w:spacing w:val="0"/>
                <w:kern w:val="0"/>
                <w:sz w:val="24"/>
                <w:szCs w:val="24"/>
                <w:lang w:val="en-US" w:eastAsia="zh-CN" w:bidi="ar-SA"/>
              </w:rPr>
            </w:pPr>
            <w:r>
              <w:rPr>
                <w:rFonts w:hint="eastAsia" w:ascii="仿宋_GB2312" w:hAnsi="仿宋_GB2312" w:eastAsia="仿宋_GB2312" w:cs="仿宋_GB2312"/>
                <w:color w:val="auto"/>
                <w:spacing w:val="0"/>
                <w:kern w:val="0"/>
                <w:sz w:val="24"/>
                <w:szCs w:val="24"/>
                <w:lang w:val="en-US" w:eastAsia="zh-CN" w:bidi="ar-SA"/>
              </w:rPr>
              <w:t>27035</w:t>
            </w: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注：202</w:t>
      </w:r>
      <w:r>
        <w:rPr>
          <w:rFonts w:hint="eastAsia" w:ascii="仿宋_GB2312" w:hAnsi="宋体" w:eastAsia="仿宋_GB2312" w:cs="Times New Roman"/>
          <w:b/>
          <w:color w:val="auto"/>
          <w:sz w:val="24"/>
          <w:szCs w:val="24"/>
          <w:lang w:val="en-US" w:eastAsia="zh-CN"/>
        </w:rPr>
        <w:t>4</w:t>
      </w:r>
      <w:r>
        <w:rPr>
          <w:rFonts w:hint="eastAsia" w:ascii="仿宋_GB2312" w:hAnsi="宋体" w:eastAsia="仿宋_GB2312" w:cs="Times New Roman"/>
          <w:b/>
          <w:color w:val="auto"/>
          <w:sz w:val="24"/>
          <w:szCs w:val="24"/>
        </w:rPr>
        <w:t>年政府性基金预算支出资金来源包括政府性基金预算本级收入、</w:t>
      </w:r>
      <w:r>
        <w:rPr>
          <w:rFonts w:hint="eastAsia" w:ascii="仿宋_GB2312" w:hAnsi="宋体" w:eastAsia="仿宋_GB2312" w:cs="Times New Roman"/>
          <w:b/>
          <w:color w:val="auto"/>
          <w:sz w:val="24"/>
          <w:szCs w:val="24"/>
          <w:lang w:eastAsia="zh-CN"/>
        </w:rPr>
        <w:t>已下达的</w:t>
      </w:r>
      <w:r>
        <w:rPr>
          <w:rFonts w:hint="eastAsia" w:ascii="仿宋_GB2312" w:hAnsi="宋体" w:eastAsia="仿宋_GB2312" w:cs="Times New Roman"/>
          <w:b/>
          <w:color w:val="auto"/>
          <w:sz w:val="24"/>
          <w:szCs w:val="24"/>
        </w:rPr>
        <w:t>上级转移支付资金，不包括202</w:t>
      </w:r>
      <w:r>
        <w:rPr>
          <w:rFonts w:hint="eastAsia" w:ascii="仿宋_GB2312" w:hAnsi="宋体" w:eastAsia="仿宋_GB2312" w:cs="Times New Roman"/>
          <w:b/>
          <w:color w:val="auto"/>
          <w:sz w:val="24"/>
          <w:szCs w:val="24"/>
          <w:lang w:val="en-US" w:eastAsia="zh-CN"/>
        </w:rPr>
        <w:t>4</w:t>
      </w:r>
      <w:r>
        <w:rPr>
          <w:rFonts w:hint="eastAsia" w:ascii="仿宋_GB2312" w:hAnsi="宋体" w:eastAsia="仿宋_GB2312" w:cs="Times New Roman"/>
          <w:b/>
          <w:color w:val="auto"/>
          <w:sz w:val="24"/>
          <w:szCs w:val="24"/>
        </w:rPr>
        <w:t>年尚未下达的上级资金。</w:t>
      </w:r>
    </w:p>
    <w:p>
      <w:pPr>
        <w:rPr>
          <w:rFonts w:hint="eastAsia" w:asciiTheme="minorAscii" w:hAnsiTheme="minorAscii" w:eastAsiaTheme="minorEastAsia"/>
          <w:snapToGrid w:val="0"/>
          <w:kern w:val="0"/>
          <w:sz w:val="21"/>
        </w:rPr>
      </w:pPr>
      <w:r>
        <w:rPr>
          <w:rFonts w:hint="eastAsia" w:asciiTheme="minorAscii" w:hAnsiTheme="minorAscii" w:eastAsiaTheme="minorEastAsia"/>
          <w:snapToGrid w:val="0"/>
          <w:kern w:val="0"/>
          <w:sz w:val="21"/>
        </w:rPr>
        <w:br w:type="page"/>
      </w:r>
    </w:p>
    <w:p>
      <w:pPr>
        <w:adjustRightInd w:val="0"/>
        <w:snapToGrid w:val="0"/>
        <w:spacing w:after="156" w:afterLines="50"/>
        <w:jc w:val="both"/>
        <w:rPr>
          <w:rFonts w:hint="eastAsia" w:ascii="黑体" w:hAnsi="Times New Roman" w:eastAsia="黑体" w:cs="Times New Roman"/>
          <w:color w:val="auto"/>
          <w:sz w:val="32"/>
          <w:szCs w:val="32"/>
          <w:highlight w:val="none"/>
          <w:lang w:eastAsia="zh-CN"/>
        </w:rPr>
      </w:pPr>
      <w:r>
        <w:rPr>
          <w:rFonts w:hint="eastAsia" w:ascii="黑体" w:hAnsi="Times New Roman" w:eastAsia="黑体" w:cs="Times New Roman"/>
          <w:color w:val="auto"/>
          <w:sz w:val="32"/>
          <w:szCs w:val="32"/>
          <w:highlight w:val="none"/>
        </w:rPr>
        <w:t>附表10</w:t>
      </w:r>
      <w:r>
        <w:rPr>
          <w:rFonts w:hint="eastAsia" w:ascii="黑体" w:hAnsi="Times New Roman" w:eastAsia="黑体"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80" w:lineRule="exact"/>
        <w:jc w:val="both"/>
        <w:rPr>
          <w:rFonts w:hint="eastAsia" w:ascii="方正大标宋简体" w:hAnsi="仿宋" w:eastAsia="方正大标宋简体" w:cs="仿宋"/>
          <w:color w:val="auto"/>
          <w:spacing w:val="-11"/>
          <w:kern w:val="2"/>
          <w:sz w:val="44"/>
          <w:lang w:val="en-US" w:eastAsia="zh-CN" w:bidi="ar-SA"/>
        </w:rPr>
      </w:pPr>
      <w:r>
        <w:rPr>
          <w:rFonts w:hint="eastAsia" w:ascii="方正大标宋简体" w:hAnsi="仿宋" w:eastAsia="方正大标宋简体" w:cs="仿宋"/>
          <w:color w:val="auto"/>
          <w:spacing w:val="-11"/>
          <w:kern w:val="2"/>
          <w:sz w:val="44"/>
          <w:lang w:val="en-US" w:eastAsia="zh-CN" w:bidi="ar-SA"/>
        </w:rPr>
        <w:t>淅川县2024年国有资本经营预算收支表（草案）</w:t>
      </w:r>
    </w:p>
    <w:p>
      <w:pPr>
        <w:spacing w:before="156" w:beforeLines="50" w:line="400" w:lineRule="exact"/>
        <w:ind w:right="278"/>
        <w:jc w:val="right"/>
        <w:rPr>
          <w:rFonts w:hint="eastAsia" w:ascii="楷体_GB2312" w:hAnsi="Times New Roman" w:eastAsia="楷体_GB2312" w:cs="Times New Roman"/>
          <w:b/>
          <w:color w:val="auto"/>
          <w:sz w:val="24"/>
          <w:szCs w:val="24"/>
        </w:rPr>
      </w:pPr>
      <w:r>
        <w:rPr>
          <w:rFonts w:hint="eastAsia" w:ascii="楷体_GB2312" w:hAnsi="Times New Roman" w:eastAsia="楷体_GB2312" w:cs="Times New Roman"/>
          <w:b/>
          <w:color w:val="auto"/>
          <w:sz w:val="24"/>
          <w:szCs w:val="24"/>
        </w:rPr>
        <w:t>单位：万元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3"/>
        <w:gridCol w:w="1321"/>
        <w:gridCol w:w="2824"/>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144" w:type="dxa"/>
            <w:gridSpan w:val="2"/>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收</w:t>
            </w:r>
            <w:r>
              <w:rPr>
                <w:rFonts w:hint="eastAsia" w:ascii="黑体" w:hAnsi="黑体" w:eastAsia="黑体" w:cs="黑体"/>
                <w:b w:val="0"/>
                <w:bCs w:val="0"/>
                <w:color w:val="auto"/>
                <w:kern w:val="0"/>
                <w:sz w:val="24"/>
                <w:szCs w:val="24"/>
                <w:lang w:val="en-US" w:eastAsia="zh-CN" w:bidi="ar"/>
              </w:rPr>
              <w:t xml:space="preserve">   </w:t>
            </w:r>
            <w:r>
              <w:rPr>
                <w:rFonts w:hint="eastAsia" w:ascii="黑体" w:hAnsi="黑体" w:eastAsia="黑体" w:cs="黑体"/>
                <w:b w:val="0"/>
                <w:bCs w:val="0"/>
                <w:color w:val="auto"/>
                <w:kern w:val="0"/>
                <w:sz w:val="24"/>
                <w:szCs w:val="24"/>
                <w:lang w:bidi="ar"/>
              </w:rPr>
              <w:t>入</w:t>
            </w:r>
          </w:p>
        </w:tc>
        <w:tc>
          <w:tcPr>
            <w:tcW w:w="4537" w:type="dxa"/>
            <w:gridSpan w:val="2"/>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支</w:t>
            </w:r>
            <w:r>
              <w:rPr>
                <w:rFonts w:hint="eastAsia" w:ascii="黑体" w:hAnsi="黑体" w:eastAsia="黑体" w:cs="黑体"/>
                <w:b w:val="0"/>
                <w:bCs w:val="0"/>
                <w:color w:val="auto"/>
                <w:kern w:val="0"/>
                <w:sz w:val="24"/>
                <w:szCs w:val="24"/>
                <w:lang w:val="en-US" w:eastAsia="zh-CN" w:bidi="ar"/>
              </w:rPr>
              <w:t xml:space="preserve">   </w:t>
            </w:r>
            <w:r>
              <w:rPr>
                <w:rFonts w:hint="eastAsia" w:ascii="黑体" w:hAnsi="黑体" w:eastAsia="黑体" w:cs="黑体"/>
                <w:b w:val="0"/>
                <w:bCs w:val="0"/>
                <w:color w:val="auto"/>
                <w:kern w:val="0"/>
                <w:sz w:val="24"/>
                <w:szCs w:val="24"/>
                <w:lang w:bidi="ar"/>
              </w:rPr>
              <w:t>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823" w:type="dxa"/>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预算科目</w:t>
            </w:r>
          </w:p>
        </w:tc>
        <w:tc>
          <w:tcPr>
            <w:tcW w:w="1321" w:type="dxa"/>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预算数</w:t>
            </w:r>
          </w:p>
        </w:tc>
        <w:tc>
          <w:tcPr>
            <w:tcW w:w="2824" w:type="dxa"/>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预算科目</w:t>
            </w:r>
          </w:p>
        </w:tc>
        <w:tc>
          <w:tcPr>
            <w:tcW w:w="1713" w:type="dxa"/>
            <w:noWrap w:val="0"/>
            <w:vAlign w:val="center"/>
          </w:tcPr>
          <w:p>
            <w:pPr>
              <w:widowControl/>
              <w:jc w:val="center"/>
              <w:textAlignment w:val="center"/>
              <w:rPr>
                <w:rFonts w:hint="eastAsia" w:ascii="黑体" w:hAnsi="黑体" w:eastAsia="黑体" w:cs="黑体"/>
                <w:b w:val="0"/>
                <w:bCs w:val="0"/>
                <w:color w:val="auto"/>
                <w:kern w:val="0"/>
                <w:sz w:val="24"/>
                <w:szCs w:val="24"/>
                <w:lang w:bidi="ar"/>
              </w:rPr>
            </w:pPr>
            <w:r>
              <w:rPr>
                <w:rFonts w:hint="eastAsia" w:ascii="黑体" w:hAnsi="黑体" w:eastAsia="黑体" w:cs="黑体"/>
                <w:b w:val="0"/>
                <w:bCs w:val="0"/>
                <w:color w:val="auto"/>
                <w:kern w:val="0"/>
                <w:sz w:val="24"/>
                <w:szCs w:val="24"/>
                <w:lang w:bidi="ar"/>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823"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利润收入</w:t>
            </w:r>
          </w:p>
        </w:tc>
        <w:tc>
          <w:tcPr>
            <w:tcW w:w="1321"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824"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解决历史遗留问题及改革成本支出</w:t>
            </w:r>
          </w:p>
        </w:tc>
        <w:tc>
          <w:tcPr>
            <w:tcW w:w="1713" w:type="dxa"/>
            <w:noWrap w:val="0"/>
            <w:vAlign w:val="center"/>
          </w:tcPr>
          <w:p>
            <w:pPr>
              <w:adjustRightInd w:val="0"/>
              <w:snapToGrid w:val="0"/>
              <w:jc w:val="center"/>
              <w:rPr>
                <w:rFonts w:hint="default" w:ascii="黑体" w:hAnsi="Times New Roman" w:eastAsia="黑体" w:cs="Times New Roman"/>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823"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股利、股息收入</w:t>
            </w:r>
          </w:p>
        </w:tc>
        <w:tc>
          <w:tcPr>
            <w:tcW w:w="1321"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824"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国有企业资本金注入</w:t>
            </w:r>
          </w:p>
        </w:tc>
        <w:tc>
          <w:tcPr>
            <w:tcW w:w="1713" w:type="dxa"/>
            <w:noWrap w:val="0"/>
            <w:vAlign w:val="center"/>
          </w:tcPr>
          <w:p>
            <w:pPr>
              <w:adjustRightInd w:val="0"/>
              <w:snapToGrid w:val="0"/>
              <w:jc w:val="center"/>
              <w:rPr>
                <w:rFonts w:hint="eastAsia" w:ascii="黑体" w:hAnsi="Times New Roman" w:eastAsia="黑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823"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产权转让收入</w:t>
            </w:r>
          </w:p>
        </w:tc>
        <w:tc>
          <w:tcPr>
            <w:tcW w:w="1321"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c>
          <w:tcPr>
            <w:tcW w:w="2824"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国有企业政策性补贴</w:t>
            </w:r>
          </w:p>
        </w:tc>
        <w:tc>
          <w:tcPr>
            <w:tcW w:w="1713" w:type="dxa"/>
            <w:noWrap w:val="0"/>
            <w:vAlign w:val="center"/>
          </w:tcPr>
          <w:p>
            <w:pPr>
              <w:adjustRightInd w:val="0"/>
              <w:snapToGrid w:val="0"/>
              <w:jc w:val="center"/>
              <w:rPr>
                <w:rFonts w:hint="eastAsia" w:ascii="黑体" w:hAnsi="Times New Roman" w:eastAsia="黑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823"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清算收入</w:t>
            </w:r>
          </w:p>
        </w:tc>
        <w:tc>
          <w:tcPr>
            <w:tcW w:w="1321"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824"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金融国有资本经营预算支出</w:t>
            </w:r>
          </w:p>
        </w:tc>
        <w:tc>
          <w:tcPr>
            <w:tcW w:w="1713" w:type="dxa"/>
            <w:noWrap w:val="0"/>
            <w:vAlign w:val="center"/>
          </w:tcPr>
          <w:p>
            <w:pPr>
              <w:adjustRightInd w:val="0"/>
              <w:snapToGrid w:val="0"/>
              <w:jc w:val="center"/>
              <w:rPr>
                <w:rFonts w:hint="eastAsia" w:ascii="黑体" w:hAnsi="Times New Roman" w:eastAsia="黑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823"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其他国有资本经营预算收入</w:t>
            </w:r>
          </w:p>
        </w:tc>
        <w:tc>
          <w:tcPr>
            <w:tcW w:w="1321"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1470</w:t>
            </w:r>
          </w:p>
        </w:tc>
        <w:tc>
          <w:tcPr>
            <w:tcW w:w="2824"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其他国有资本经营预算支出</w:t>
            </w:r>
          </w:p>
        </w:tc>
        <w:tc>
          <w:tcPr>
            <w:tcW w:w="1713" w:type="dxa"/>
            <w:noWrap w:val="0"/>
            <w:vAlign w:val="center"/>
          </w:tcPr>
          <w:p>
            <w:pPr>
              <w:adjustRightInd w:val="0"/>
              <w:snapToGrid w:val="0"/>
              <w:jc w:val="center"/>
              <w:rPr>
                <w:rFonts w:hint="default" w:ascii="黑体" w:hAnsi="Times New Roman" w:eastAsia="仿宋_GB2312" w:cs="Times New Roman"/>
                <w:color w:val="auto"/>
                <w:sz w:val="24"/>
                <w:szCs w:val="24"/>
                <w:lang w:val="en-US" w:eastAsia="zh-CN"/>
              </w:rPr>
            </w:pPr>
            <w:r>
              <w:rPr>
                <w:rFonts w:hint="eastAsia" w:ascii="仿宋_GB2312" w:hAnsi="仿宋_GB2312" w:eastAsia="仿宋_GB2312" w:cs="仿宋_GB2312"/>
                <w:color w:val="auto"/>
                <w:sz w:val="24"/>
                <w:szCs w:val="24"/>
                <w:lang w:val="en-US" w:eastAsia="zh-CN"/>
              </w:rPr>
              <w:t>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823"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本年收入合计</w:t>
            </w:r>
          </w:p>
        </w:tc>
        <w:tc>
          <w:tcPr>
            <w:tcW w:w="1321"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1570</w:t>
            </w:r>
          </w:p>
        </w:tc>
        <w:tc>
          <w:tcPr>
            <w:tcW w:w="2824"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本年支出合计</w:t>
            </w:r>
          </w:p>
        </w:tc>
        <w:tc>
          <w:tcPr>
            <w:tcW w:w="1713" w:type="dxa"/>
            <w:noWrap w:val="0"/>
            <w:vAlign w:val="center"/>
          </w:tcPr>
          <w:p>
            <w:pPr>
              <w:adjustRightInd w:val="0"/>
              <w:snapToGrid w:val="0"/>
              <w:jc w:val="center"/>
              <w:rPr>
                <w:rFonts w:hint="default" w:ascii="黑体" w:hAnsi="Times New Roman" w:eastAsia="仿宋_GB2312" w:cs="Times New Roman"/>
                <w:color w:val="auto"/>
                <w:sz w:val="24"/>
                <w:szCs w:val="24"/>
                <w:lang w:val="en-US" w:eastAsia="zh-CN"/>
              </w:rPr>
            </w:pPr>
            <w:r>
              <w:rPr>
                <w:rFonts w:hint="eastAsia" w:ascii="仿宋_GB2312" w:hAnsi="仿宋_GB2312" w:eastAsia="仿宋_GB2312" w:cs="仿宋_GB2312"/>
                <w:color w:val="auto"/>
                <w:sz w:val="24"/>
                <w:szCs w:val="24"/>
                <w:lang w:val="en-US" w:eastAsia="zh-CN"/>
              </w:rPr>
              <w:t>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823"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上级补助收入</w:t>
            </w:r>
          </w:p>
        </w:tc>
        <w:tc>
          <w:tcPr>
            <w:tcW w:w="1321"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33</w:t>
            </w:r>
          </w:p>
        </w:tc>
        <w:tc>
          <w:tcPr>
            <w:tcW w:w="2824" w:type="dxa"/>
            <w:noWrap w:val="0"/>
            <w:vAlign w:val="center"/>
          </w:tcPr>
          <w:p>
            <w:pPr>
              <w:jc w:val="both"/>
              <w:rPr>
                <w:rFonts w:hint="eastAsia" w:ascii="仿宋_GB2312" w:hAnsi="仿宋_GB2312" w:eastAsia="仿宋_GB2312" w:cs="仿宋_GB2312"/>
                <w:color w:val="auto"/>
                <w:sz w:val="24"/>
                <w:szCs w:val="24"/>
              </w:rPr>
            </w:pPr>
          </w:p>
        </w:tc>
        <w:tc>
          <w:tcPr>
            <w:tcW w:w="1713" w:type="dxa"/>
            <w:noWrap w:val="0"/>
            <w:vAlign w:val="center"/>
          </w:tcPr>
          <w:p>
            <w:pPr>
              <w:adjustRightInd w:val="0"/>
              <w:snapToGrid w:val="0"/>
              <w:jc w:val="center"/>
              <w:rPr>
                <w:rFonts w:hint="eastAsia" w:ascii="黑体" w:hAnsi="Times New Roman" w:eastAsia="黑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823"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上年结余</w:t>
            </w:r>
          </w:p>
        </w:tc>
        <w:tc>
          <w:tcPr>
            <w:tcW w:w="1321"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824" w:type="dxa"/>
            <w:noWrap w:val="0"/>
            <w:vAlign w:val="center"/>
          </w:tcPr>
          <w:p>
            <w:pPr>
              <w:jc w:val="both"/>
              <w:rPr>
                <w:rFonts w:hint="eastAsia" w:ascii="仿宋_GB2312" w:hAnsi="仿宋_GB2312" w:eastAsia="仿宋_GB2312" w:cs="仿宋_GB2312"/>
                <w:color w:val="auto"/>
                <w:sz w:val="24"/>
                <w:szCs w:val="24"/>
              </w:rPr>
            </w:pPr>
          </w:p>
        </w:tc>
        <w:tc>
          <w:tcPr>
            <w:tcW w:w="1713" w:type="dxa"/>
            <w:noWrap w:val="0"/>
            <w:vAlign w:val="center"/>
          </w:tcPr>
          <w:p>
            <w:pPr>
              <w:adjustRightInd w:val="0"/>
              <w:snapToGrid w:val="0"/>
              <w:jc w:val="center"/>
              <w:rPr>
                <w:rFonts w:hint="eastAsia" w:ascii="黑体" w:hAnsi="Times New Roman" w:eastAsia="黑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823"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省补助计划单列市收入</w:t>
            </w:r>
          </w:p>
        </w:tc>
        <w:tc>
          <w:tcPr>
            <w:tcW w:w="1321"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824" w:type="dxa"/>
            <w:noWrap w:val="0"/>
            <w:vAlign w:val="center"/>
          </w:tcPr>
          <w:p>
            <w:pPr>
              <w:jc w:val="both"/>
              <w:rPr>
                <w:rFonts w:hint="eastAsia" w:ascii="仿宋_GB2312" w:hAnsi="仿宋_GB2312" w:eastAsia="仿宋_GB2312" w:cs="仿宋_GB2312"/>
                <w:color w:val="auto"/>
                <w:sz w:val="24"/>
                <w:szCs w:val="24"/>
              </w:rPr>
            </w:pPr>
          </w:p>
        </w:tc>
        <w:tc>
          <w:tcPr>
            <w:tcW w:w="1713" w:type="dxa"/>
            <w:noWrap w:val="0"/>
            <w:vAlign w:val="center"/>
          </w:tcPr>
          <w:p>
            <w:pPr>
              <w:adjustRightInd w:val="0"/>
              <w:snapToGrid w:val="0"/>
              <w:jc w:val="center"/>
              <w:rPr>
                <w:rFonts w:hint="eastAsia" w:ascii="黑体" w:hAnsi="Times New Roman" w:eastAsia="黑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823" w:type="dxa"/>
            <w:noWrap w:val="0"/>
            <w:vAlign w:val="center"/>
          </w:tcPr>
          <w:p>
            <w:pPr>
              <w:jc w:val="both"/>
              <w:rPr>
                <w:rFonts w:hint="eastAsia" w:ascii="仿宋_GB2312" w:hAnsi="仿宋_GB2312" w:eastAsia="仿宋_GB2312" w:cs="仿宋_GB2312"/>
                <w:color w:val="auto"/>
                <w:sz w:val="24"/>
                <w:szCs w:val="24"/>
              </w:rPr>
            </w:pPr>
          </w:p>
        </w:tc>
        <w:tc>
          <w:tcPr>
            <w:tcW w:w="1321"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824"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调出资金</w:t>
            </w:r>
          </w:p>
        </w:tc>
        <w:tc>
          <w:tcPr>
            <w:tcW w:w="1713" w:type="dxa"/>
            <w:noWrap w:val="0"/>
            <w:vAlign w:val="center"/>
          </w:tcPr>
          <w:p>
            <w:pPr>
              <w:adjustRightInd w:val="0"/>
              <w:snapToGrid w:val="0"/>
              <w:jc w:val="center"/>
              <w:rPr>
                <w:rFonts w:hint="eastAsia" w:ascii="黑体" w:hAnsi="Times New Roman" w:eastAsia="黑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823" w:type="dxa"/>
            <w:noWrap w:val="0"/>
            <w:vAlign w:val="center"/>
          </w:tcPr>
          <w:p>
            <w:pPr>
              <w:jc w:val="both"/>
              <w:rPr>
                <w:rFonts w:hint="eastAsia" w:ascii="仿宋_GB2312" w:hAnsi="仿宋_GB2312" w:eastAsia="仿宋_GB2312" w:cs="仿宋_GB2312"/>
                <w:color w:val="auto"/>
                <w:sz w:val="24"/>
                <w:szCs w:val="24"/>
              </w:rPr>
            </w:pPr>
          </w:p>
        </w:tc>
        <w:tc>
          <w:tcPr>
            <w:tcW w:w="1321" w:type="dxa"/>
            <w:noWrap w:val="0"/>
            <w:vAlign w:val="center"/>
          </w:tcPr>
          <w:p>
            <w:pPr>
              <w:adjustRightInd w:val="0"/>
              <w:snapToGrid w:val="0"/>
              <w:jc w:val="center"/>
              <w:rPr>
                <w:rFonts w:hint="eastAsia" w:ascii="仿宋_GB2312" w:hAnsi="仿宋_GB2312" w:eastAsia="仿宋_GB2312" w:cs="仿宋_GB2312"/>
                <w:color w:val="auto"/>
                <w:sz w:val="24"/>
                <w:szCs w:val="24"/>
              </w:rPr>
            </w:pPr>
          </w:p>
        </w:tc>
        <w:tc>
          <w:tcPr>
            <w:tcW w:w="2824" w:type="dxa"/>
            <w:noWrap w:val="0"/>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年终结余</w:t>
            </w:r>
          </w:p>
        </w:tc>
        <w:tc>
          <w:tcPr>
            <w:tcW w:w="1713" w:type="dxa"/>
            <w:noWrap w:val="0"/>
            <w:vAlign w:val="center"/>
          </w:tcPr>
          <w:p>
            <w:pPr>
              <w:adjustRightInd w:val="0"/>
              <w:snapToGrid w:val="0"/>
              <w:jc w:val="center"/>
              <w:rPr>
                <w:rFonts w:hint="eastAsia" w:ascii="黑体" w:hAnsi="Times New Roman" w:eastAsia="黑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823" w:type="dxa"/>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收  入  总  计</w:t>
            </w:r>
          </w:p>
        </w:tc>
        <w:tc>
          <w:tcPr>
            <w:tcW w:w="1321" w:type="dxa"/>
            <w:noWrap w:val="0"/>
            <w:vAlign w:val="center"/>
          </w:tcPr>
          <w:p>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1603</w:t>
            </w:r>
          </w:p>
        </w:tc>
        <w:tc>
          <w:tcPr>
            <w:tcW w:w="2824" w:type="dxa"/>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支  出  总  计</w:t>
            </w:r>
          </w:p>
        </w:tc>
        <w:tc>
          <w:tcPr>
            <w:tcW w:w="1713" w:type="dxa"/>
            <w:noWrap w:val="0"/>
            <w:vAlign w:val="center"/>
          </w:tcPr>
          <w:p>
            <w:pPr>
              <w:adjustRightInd w:val="0"/>
              <w:snapToGrid w:val="0"/>
              <w:jc w:val="center"/>
              <w:rPr>
                <w:rFonts w:hint="default" w:ascii="黑体" w:hAnsi="Times New Roman" w:eastAsia="仿宋_GB2312" w:cs="Times New Roman"/>
                <w:color w:val="auto"/>
                <w:sz w:val="24"/>
                <w:szCs w:val="24"/>
                <w:lang w:val="en-US" w:eastAsia="zh-CN"/>
              </w:rPr>
            </w:pPr>
            <w:r>
              <w:rPr>
                <w:rFonts w:hint="eastAsia" w:ascii="仿宋_GB2312" w:hAnsi="仿宋_GB2312" w:eastAsia="仿宋_GB2312" w:cs="仿宋_GB2312"/>
                <w:color w:val="auto"/>
                <w:sz w:val="24"/>
                <w:szCs w:val="24"/>
                <w:lang w:val="en-US" w:eastAsia="zh-CN"/>
              </w:rPr>
              <w:t>1603</w:t>
            </w:r>
          </w:p>
        </w:tc>
      </w:tr>
    </w:tbl>
    <w:p>
      <w:pPr>
        <w:rPr>
          <w:rFonts w:hint="eastAsia" w:asciiTheme="minorAscii" w:hAnsiTheme="minorAscii" w:eastAsiaTheme="minorEastAsia"/>
          <w:snapToGrid w:val="0"/>
          <w:kern w:val="0"/>
          <w:sz w:val="21"/>
        </w:rPr>
      </w:pPr>
      <w:r>
        <w:rPr>
          <w:rFonts w:hint="eastAsia" w:asciiTheme="minorAscii" w:hAnsiTheme="minorAscii" w:eastAsiaTheme="minorEastAsia"/>
          <w:snapToGrid w:val="0"/>
          <w:kern w:val="0"/>
          <w:sz w:val="21"/>
        </w:rPr>
        <w:br w:type="page"/>
      </w:r>
    </w:p>
    <w:p>
      <w:pPr>
        <w:keepNext w:val="0"/>
        <w:keepLines w:val="0"/>
        <w:pageBreakBefore w:val="0"/>
        <w:widowControl w:val="0"/>
        <w:kinsoku/>
        <w:wordWrap/>
        <w:overflowPunct/>
        <w:topLinePunct w:val="0"/>
        <w:autoSpaceDE/>
        <w:autoSpaceDN/>
        <w:bidi w:val="0"/>
        <w:adjustRightInd w:val="0"/>
        <w:snapToGrid w:val="0"/>
        <w:spacing w:after="156" w:afterLines="50"/>
        <w:jc w:val="both"/>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rPr>
        <w:t>附表11</w:t>
      </w:r>
      <w:r>
        <w:rPr>
          <w:rFonts w:hint="eastAsia" w:ascii="黑体" w:hAnsi="Times New Roman" w:eastAsia="黑体" w:cs="Times New Roman"/>
          <w:color w:val="auto"/>
          <w:sz w:val="32"/>
          <w:szCs w:val="32"/>
          <w:lang w:eastAsia="zh-CN"/>
        </w:rPr>
        <w:t>：</w:t>
      </w:r>
    </w:p>
    <w:p>
      <w:pPr>
        <w:pStyle w:val="5"/>
        <w:keepNext w:val="0"/>
        <w:keepLines w:val="0"/>
        <w:pageBreakBefore w:val="0"/>
        <w:kinsoku/>
        <w:wordWrap/>
        <w:overflowPunct/>
        <w:topLinePunct w:val="0"/>
        <w:autoSpaceDE/>
        <w:autoSpaceDN/>
        <w:bidi w:val="0"/>
        <w:adjustRightInd/>
        <w:spacing w:line="580" w:lineRule="exact"/>
        <w:jc w:val="center"/>
        <w:rPr>
          <w:rFonts w:hint="eastAsia" w:ascii="方正大标宋简体" w:hAnsi="仿宋" w:eastAsia="方正大标宋简体" w:cs="仿宋"/>
          <w:color w:val="auto"/>
          <w:spacing w:val="-17"/>
          <w:sz w:val="44"/>
        </w:rPr>
      </w:pPr>
      <w:r>
        <w:rPr>
          <w:rFonts w:hint="eastAsia" w:ascii="方正大标宋简体" w:hAnsi="仿宋" w:eastAsia="方正大标宋简体" w:cs="仿宋"/>
          <w:color w:val="auto"/>
          <w:spacing w:val="-17"/>
          <w:sz w:val="44"/>
        </w:rPr>
        <w:t>淅川县202</w:t>
      </w:r>
      <w:r>
        <w:rPr>
          <w:rFonts w:hint="eastAsia" w:ascii="方正大标宋简体" w:hAnsi="仿宋" w:eastAsia="方正大标宋简体" w:cs="仿宋"/>
          <w:color w:val="auto"/>
          <w:spacing w:val="-17"/>
          <w:sz w:val="44"/>
          <w:lang w:val="en-US" w:eastAsia="zh-CN"/>
        </w:rPr>
        <w:t>4</w:t>
      </w:r>
      <w:r>
        <w:rPr>
          <w:rFonts w:hint="eastAsia" w:ascii="方正大标宋简体" w:hAnsi="仿宋" w:eastAsia="方正大标宋简体" w:cs="仿宋"/>
          <w:color w:val="auto"/>
          <w:spacing w:val="-17"/>
          <w:sz w:val="44"/>
        </w:rPr>
        <w:t>年社会保险基金预算收支表（草案）</w:t>
      </w:r>
    </w:p>
    <w:p>
      <w:pPr>
        <w:spacing w:before="156" w:beforeLines="50" w:line="400" w:lineRule="exact"/>
        <w:ind w:right="278"/>
        <w:jc w:val="right"/>
        <w:rPr>
          <w:rFonts w:ascii="楷体_GB2312" w:eastAsia="楷体_GB2312"/>
          <w:b/>
          <w:color w:val="auto"/>
          <w:sz w:val="24"/>
          <w:szCs w:val="24"/>
        </w:rPr>
      </w:pPr>
      <w:r>
        <w:rPr>
          <w:rFonts w:hint="eastAsia" w:ascii="楷体_GB2312" w:eastAsia="楷体_GB2312"/>
          <w:b/>
          <w:color w:val="auto"/>
          <w:sz w:val="24"/>
          <w:szCs w:val="24"/>
        </w:rPr>
        <w:t>单位：万元</w:t>
      </w:r>
    </w:p>
    <w:p>
      <w:pPr>
        <w:snapToGrid w:val="0"/>
        <w:spacing w:line="20" w:lineRule="exact"/>
        <w:rPr>
          <w:rFonts w:eastAsia="黑体"/>
          <w:color w:val="auto"/>
          <w:sz w:val="24"/>
        </w:rPr>
      </w:pPr>
    </w:p>
    <w:tbl>
      <w:tblPr>
        <w:tblStyle w:val="8"/>
        <w:tblW w:w="8778" w:type="dxa"/>
        <w:jc w:val="center"/>
        <w:tblLayout w:type="fixed"/>
        <w:tblCellMar>
          <w:top w:w="0" w:type="dxa"/>
          <w:left w:w="108" w:type="dxa"/>
          <w:bottom w:w="0" w:type="dxa"/>
          <w:right w:w="108" w:type="dxa"/>
        </w:tblCellMar>
      </w:tblPr>
      <w:tblGrid>
        <w:gridCol w:w="4369"/>
        <w:gridCol w:w="1187"/>
        <w:gridCol w:w="1096"/>
        <w:gridCol w:w="960"/>
        <w:gridCol w:w="1166"/>
      </w:tblGrid>
      <w:tr>
        <w:tblPrEx>
          <w:tblCellMar>
            <w:top w:w="0" w:type="dxa"/>
            <w:left w:w="108" w:type="dxa"/>
            <w:bottom w:w="0" w:type="dxa"/>
            <w:right w:w="108" w:type="dxa"/>
          </w:tblCellMar>
        </w:tblPrEx>
        <w:trPr>
          <w:trHeight w:val="803" w:hRule="atLeast"/>
          <w:jc w:val="center"/>
        </w:trPr>
        <w:tc>
          <w:tcPr>
            <w:tcW w:w="4369" w:type="dxa"/>
            <w:tcBorders>
              <w:top w:val="single" w:color="auto" w:sz="4" w:space="0"/>
              <w:left w:val="single" w:color="auto" w:sz="4" w:space="0"/>
              <w:bottom w:val="single" w:color="auto" w:sz="4" w:space="0"/>
              <w:right w:val="single" w:color="auto" w:sz="4" w:space="0"/>
            </w:tcBorders>
            <w:noWrap w:val="0"/>
            <w:vAlign w:val="center"/>
          </w:tcPr>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项　　目</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收  入</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支 出</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结 余</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年末滚存</w:t>
            </w:r>
          </w:p>
          <w:p>
            <w:pPr>
              <w:widowControl/>
              <w:ind w:left="-63" w:leftChars="-30" w:right="-63" w:rightChars="-3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结</w:t>
            </w:r>
            <w:r>
              <w:rPr>
                <w:rFonts w:hint="eastAsia" w:ascii="黑体" w:hAnsi="黑体" w:eastAsia="黑体" w:cs="黑体"/>
                <w:color w:val="auto"/>
                <w:kern w:val="0"/>
                <w:sz w:val="24"/>
                <w:szCs w:val="24"/>
                <w:lang w:val="en-US" w:eastAsia="zh-CN"/>
              </w:rPr>
              <w:t xml:space="preserve">    </w:t>
            </w:r>
            <w:r>
              <w:rPr>
                <w:rFonts w:hint="eastAsia" w:ascii="黑体" w:hAnsi="黑体" w:eastAsia="黑体" w:cs="黑体"/>
                <w:color w:val="auto"/>
                <w:kern w:val="0"/>
                <w:sz w:val="24"/>
                <w:szCs w:val="24"/>
              </w:rPr>
              <w:t>余</w:t>
            </w:r>
          </w:p>
        </w:tc>
      </w:tr>
      <w:tr>
        <w:tblPrEx>
          <w:tblCellMar>
            <w:top w:w="0" w:type="dxa"/>
            <w:left w:w="108" w:type="dxa"/>
            <w:bottom w:w="0" w:type="dxa"/>
            <w:right w:w="108" w:type="dxa"/>
          </w:tblCellMar>
        </w:tblPrEx>
        <w:trPr>
          <w:trHeight w:val="607" w:hRule="atLeast"/>
          <w:jc w:val="center"/>
        </w:trPr>
        <w:tc>
          <w:tcPr>
            <w:tcW w:w="43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社会保险基金合计</w:t>
            </w:r>
          </w:p>
        </w:tc>
        <w:tc>
          <w:tcPr>
            <w:tcW w:w="118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106576</w:t>
            </w:r>
          </w:p>
        </w:tc>
        <w:tc>
          <w:tcPr>
            <w:tcW w:w="109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92341</w:t>
            </w:r>
          </w:p>
        </w:tc>
        <w:tc>
          <w:tcPr>
            <w:tcW w:w="96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14235</w:t>
            </w:r>
          </w:p>
        </w:tc>
        <w:tc>
          <w:tcPr>
            <w:tcW w:w="116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126413</w:t>
            </w: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城乡居民基本养老保险基金</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24385</w:t>
            </w:r>
          </w:p>
        </w:tc>
        <w:tc>
          <w:tcPr>
            <w:tcW w:w="109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18850</w:t>
            </w:r>
          </w:p>
        </w:tc>
        <w:tc>
          <w:tcPr>
            <w:tcW w:w="960"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5535</w:t>
            </w:r>
          </w:p>
        </w:tc>
        <w:tc>
          <w:tcPr>
            <w:tcW w:w="116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73205</w:t>
            </w: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收入：个人缴费</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5600</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财政补贴收入</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16835</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其他收入（利息及转移收入）</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1950</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职工基本医疗保险基金</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18455</w:t>
            </w:r>
          </w:p>
        </w:tc>
        <w:tc>
          <w:tcPr>
            <w:tcW w:w="109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17145</w:t>
            </w:r>
          </w:p>
        </w:tc>
        <w:tc>
          <w:tcPr>
            <w:tcW w:w="960"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1310</w:t>
            </w:r>
          </w:p>
        </w:tc>
        <w:tc>
          <w:tcPr>
            <w:tcW w:w="116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24944</w:t>
            </w: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收入：财政补助</w:t>
            </w:r>
          </w:p>
        </w:tc>
        <w:tc>
          <w:tcPr>
            <w:tcW w:w="118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经办机构征缴</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18175</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其他收入（利息及转移收入）</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280</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大额医保</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1380</w:t>
            </w:r>
          </w:p>
        </w:tc>
        <w:tc>
          <w:tcPr>
            <w:tcW w:w="109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1380</w:t>
            </w:r>
          </w:p>
        </w:tc>
        <w:tc>
          <w:tcPr>
            <w:tcW w:w="960"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16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686</w:t>
            </w: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城乡居民基本医疗保险基金</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62356</w:t>
            </w:r>
          </w:p>
        </w:tc>
        <w:tc>
          <w:tcPr>
            <w:tcW w:w="109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54966</w:t>
            </w:r>
          </w:p>
        </w:tc>
        <w:tc>
          <w:tcPr>
            <w:tcW w:w="960"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7390</w:t>
            </w:r>
          </w:p>
        </w:tc>
        <w:tc>
          <w:tcPr>
            <w:tcW w:w="1166"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27578</w:t>
            </w: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收入：个人缴费</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22427</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财政补贴收入</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39543</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ind w:firstLine="960" w:firstLineChars="4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利息收入</w:t>
            </w:r>
          </w:p>
        </w:tc>
        <w:tc>
          <w:tcPr>
            <w:tcW w:w="118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386</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607" w:hRule="atLeast"/>
          <w:jc w:val="center"/>
        </w:trPr>
        <w:tc>
          <w:tcPr>
            <w:tcW w:w="43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其他收入    </w:t>
            </w:r>
          </w:p>
        </w:tc>
        <w:tc>
          <w:tcPr>
            <w:tcW w:w="118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0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16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bl>
    <w:p>
      <w:pPr>
        <w:rPr>
          <w:rFonts w:hint="eastAsia" w:asciiTheme="minorAscii" w:hAnsiTheme="minorAscii" w:eastAsiaTheme="minorEastAsia"/>
          <w:snapToGrid w:val="0"/>
          <w:kern w:val="0"/>
          <w:sz w:val="21"/>
        </w:rPr>
      </w:pPr>
      <w:r>
        <w:rPr>
          <w:rFonts w:hint="eastAsia" w:asciiTheme="minorAscii" w:hAnsiTheme="minorAscii" w:eastAsiaTheme="minorEastAsia"/>
          <w:snapToGrid w:val="0"/>
          <w:kern w:val="0"/>
          <w:sz w:val="21"/>
        </w:rPr>
        <w:br w:type="page"/>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8"/>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1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14"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distribute"/>
              <w:rPr>
                <w:rFonts w:ascii="黑体" w:hAnsi="仿宋" w:eastAsia="黑体"/>
                <w:color w:val="000000"/>
                <w:sz w:val="32"/>
                <w:szCs w:val="32"/>
              </w:rPr>
            </w:pPr>
            <w:r>
              <w:rPr>
                <w:rFonts w:hint="eastAsia" w:ascii="黑体" w:hAnsi="仿宋" w:eastAsia="黑体"/>
                <w:color w:val="000000"/>
                <w:sz w:val="32"/>
                <w:szCs w:val="32"/>
              </w:rPr>
              <w:t>淅川县第十六届人民代表大会第</w:t>
            </w:r>
            <w:r>
              <w:rPr>
                <w:rFonts w:hint="eastAsia" w:ascii="黑体" w:hAnsi="仿宋" w:eastAsia="黑体"/>
                <w:color w:val="000000"/>
                <w:sz w:val="32"/>
                <w:szCs w:val="32"/>
                <w:lang w:val="en-US" w:eastAsia="zh-CN"/>
              </w:rPr>
              <w:t>三</w:t>
            </w:r>
            <w:r>
              <w:rPr>
                <w:rFonts w:hint="eastAsia" w:ascii="黑体" w:hAnsi="仿宋" w:eastAsia="黑体"/>
                <w:color w:val="000000"/>
                <w:sz w:val="32"/>
                <w:szCs w:val="32"/>
              </w:rPr>
              <w:t>次会议秘书处</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Ascii" w:hAnsiTheme="minorAscii" w:eastAsiaTheme="minorEastAsia"/>
          <w:snapToGrid w:val="0"/>
          <w:kern w:val="0"/>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-116840</wp:posOffset>
                </wp:positionH>
                <wp:positionV relativeFrom="paragraph">
                  <wp:posOffset>97155</wp:posOffset>
                </wp:positionV>
                <wp:extent cx="848995" cy="346710"/>
                <wp:effectExtent l="0" t="0" r="8255" b="15240"/>
                <wp:wrapNone/>
                <wp:docPr id="19" name="文本框 19"/>
                <wp:cNvGraphicFramePr/>
                <a:graphic xmlns:a="http://schemas.openxmlformats.org/drawingml/2006/main">
                  <a:graphicData uri="http://schemas.microsoft.com/office/word/2010/wordprocessingShape">
                    <wps:wsp>
                      <wps:cNvSpPr txBox="1"/>
                      <wps:spPr>
                        <a:xfrm>
                          <a:off x="927100" y="9616440"/>
                          <a:ext cx="848995" cy="3467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pt;margin-top:7.65pt;height:27.3pt;width:66.85pt;z-index:251659264;mso-width-relative:page;mso-height-relative:page;" fillcolor="#FFFFFF [3201]" filled="t" stroked="f" coordsize="21600,21600" o:gfxdata="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lVLyHUAAAACQEA&#10;AA8AAAAAAAAAAQAgAAAAIgAAAGRycy9kb3ducmV2LnhtbFBLAQIUABQAAAAIAIdO4kBfT3VNVwIA&#10;AJsEAAAOAAAAAAAAAAEAIAAAACMBAABkcnMvZTJvRG9jLnhtbFBLBQYAAAAABgAGAFkBAADsBQAA&#10;AAA=&#10;">
                <v:fill on="t" focussize="0,0"/>
                <v:stroke on="f" weight="0.5pt"/>
                <v:imagedata o:title=""/>
                <o:lock v:ext="edit" aspectratio="f"/>
                <v:textbox>
                  <w:txbxContent>
                    <w:p/>
                  </w:txbxContent>
                </v:textbox>
              </v:shape>
            </w:pict>
          </mc:Fallback>
        </mc:AlternateContent>
      </w:r>
    </w:p>
    <w:sectPr>
      <w:footerReference r:id="rId3" w:type="default"/>
      <w:pgSz w:w="11906" w:h="16838"/>
      <w:pgMar w:top="1871" w:right="1531" w:bottom="1701" w:left="1644"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OTMwYTVjODMyYTJjZTliNGYzN2U4NjRmMzI5MzcifQ=="/>
  </w:docVars>
  <w:rsids>
    <w:rsidRoot w:val="41DE1FC4"/>
    <w:rsid w:val="11C93E64"/>
    <w:rsid w:val="255F31AF"/>
    <w:rsid w:val="32B670C6"/>
    <w:rsid w:val="41DE1FC4"/>
    <w:rsid w:val="43322DCB"/>
    <w:rsid w:val="4AC7413B"/>
    <w:rsid w:val="5698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No Spacing1"/>
    <w:autoRedefine/>
    <w:qFormat/>
    <w:uiPriority w:val="1"/>
    <w:pPr>
      <w:widowControl w:val="0"/>
      <w:jc w:val="both"/>
    </w:pPr>
    <w:rPr>
      <w:rFonts w:ascii="Calibri" w:hAnsi="Calibri" w:eastAsia="宋体" w:cs="Times New Roman"/>
      <w:kern w:val="2"/>
      <w:sz w:val="28"/>
      <w:szCs w:val="22"/>
      <w:lang w:val="en-US" w:eastAsia="zh-CN" w:bidi="ar-SA"/>
    </w:rPr>
  </w:style>
  <w:style w:type="paragraph" w:styleId="3">
    <w:name w:val="Body Text"/>
    <w:basedOn w:val="1"/>
    <w:next w:val="4"/>
    <w:qFormat/>
    <w:uiPriority w:val="0"/>
    <w:pPr>
      <w:spacing w:after="120" w:line="580" w:lineRule="exact"/>
      <w:ind w:firstLine="640" w:firstLineChars="200"/>
    </w:pPr>
    <w:rPr>
      <w:rFonts w:ascii="Calibri" w:hAnsi="Calibri" w:cs="Times New Roman"/>
    </w:rPr>
  </w:style>
  <w:style w:type="paragraph" w:customStyle="1" w:styleId="4">
    <w:name w:val="Body Text 21"/>
    <w:basedOn w:val="1"/>
    <w:autoRedefine/>
    <w:qFormat/>
    <w:uiPriority w:val="0"/>
    <w:pPr>
      <w:adjustRightInd w:val="0"/>
      <w:spacing w:line="360" w:lineRule="auto"/>
      <w:textAlignment w:val="baseline"/>
    </w:pPr>
    <w:rPr>
      <w:rFonts w:ascii="楷体_GB2312" w:eastAsia="楷体_GB2312"/>
      <w:kern w:val="44"/>
      <w:sz w:val="28"/>
    </w:rPr>
  </w:style>
  <w:style w:type="paragraph" w:styleId="5">
    <w:name w:val="Plain Text"/>
    <w:basedOn w:val="1"/>
    <w:autoRedefine/>
    <w:qFormat/>
    <w:uiPriority w:val="0"/>
    <w:rPr>
      <w:rFonts w:ascii="宋体" w:hAnsi="Courier New"/>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2024-03-04T10:13:00Z</dcterms:created>
  <dc:creator>淅政图文广告，周文龙</dc:creator>
  <cp:lastModifiedBy>K</cp:lastModifiedBy>
  <dcterms:modified xsi:type="dcterms:W3CDTF">2024-03-06T06:46:37Z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E63248B006AF4E6C82FF3796EB4CAC03_11</vt:lpwstr>
  </property>
</Properties>
</file>